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38973" w14:textId="77777777" w:rsidR="00A41870" w:rsidRDefault="00A41870">
      <w:pPr>
        <w:pBdr>
          <w:top w:val="nil"/>
          <w:left w:val="nil"/>
          <w:bottom w:val="nil"/>
          <w:right w:val="nil"/>
          <w:between w:val="nil"/>
        </w:pBdr>
        <w:spacing w:line="276" w:lineRule="auto"/>
        <w:ind w:firstLine="0"/>
        <w:jc w:val="left"/>
      </w:pPr>
    </w:p>
    <w:p w14:paraId="307CF8BD" w14:textId="77777777" w:rsidR="00A41870" w:rsidRDefault="00B16F2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66783839" wp14:editId="2D11C0F8">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4BDACBD4" w14:textId="77777777" w:rsidR="00A41870" w:rsidRDefault="00B16F2E">
                            <w:pPr>
                              <w:jc w:val="center"/>
                              <w:textDirection w:val="btLr"/>
                            </w:pPr>
                            <w:r>
                              <w:rPr>
                                <w:rFonts w:eastAsia="Times New Roman"/>
                                <w:i/>
                                <w:color w:val="000000"/>
                              </w:rPr>
                              <w:t>Available online at http://jurnal.abulyatama.ac.id/dedikasi</w:t>
                            </w:r>
                          </w:p>
                          <w:p w14:paraId="23CA57CA" w14:textId="77777777" w:rsidR="00A41870" w:rsidRDefault="00B16F2E">
                            <w:pPr>
                              <w:jc w:val="center"/>
                              <w:textDirection w:val="btLr"/>
                            </w:pPr>
                            <w:r>
                              <w:rPr>
                                <w:rFonts w:eastAsia="Times New Roman"/>
                                <w:color w:val="000000"/>
                              </w:rPr>
                              <w:t xml:space="preserve">ISSN 2548-8848 (Online) </w:t>
                            </w:r>
                          </w:p>
                          <w:p w14:paraId="249696B5" w14:textId="77777777" w:rsidR="00A41870" w:rsidRDefault="00B16F2E">
                            <w:pPr>
                              <w:jc w:val="center"/>
                              <w:textDirection w:val="btLr"/>
                            </w:pPr>
                            <w:r>
                              <w:rPr>
                                <w:rFonts w:eastAsia="Times New Roman"/>
                                <w:b/>
                                <w:color w:val="000000"/>
                                <w:sz w:val="28"/>
                              </w:rPr>
                              <w:t>Universitas Abulyatama</w:t>
                            </w:r>
                          </w:p>
                          <w:p w14:paraId="40206BAE" w14:textId="77777777" w:rsidR="00A41870" w:rsidRDefault="00B16F2E">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66783839"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14:paraId="4BDACBD4" w14:textId="77777777" w:rsidR="00A41870" w:rsidRDefault="00B16F2E">
                      <w:pPr>
                        <w:jc w:val="center"/>
                        <w:textDirection w:val="btLr"/>
                      </w:pPr>
                      <w:r>
                        <w:rPr>
                          <w:rFonts w:eastAsia="Times New Roman"/>
                          <w:i/>
                          <w:color w:val="000000"/>
                        </w:rPr>
                        <w:t>Available online at http://jurnal.abulyatama.ac.id/dedikasi</w:t>
                      </w:r>
                    </w:p>
                    <w:p w14:paraId="23CA57CA" w14:textId="77777777" w:rsidR="00A41870" w:rsidRDefault="00B16F2E">
                      <w:pPr>
                        <w:jc w:val="center"/>
                        <w:textDirection w:val="btLr"/>
                      </w:pPr>
                      <w:r>
                        <w:rPr>
                          <w:rFonts w:eastAsia="Times New Roman"/>
                          <w:color w:val="000000"/>
                        </w:rPr>
                        <w:t xml:space="preserve">ISSN 2548-8848 (Online) </w:t>
                      </w:r>
                    </w:p>
                    <w:p w14:paraId="249696B5" w14:textId="77777777" w:rsidR="00A41870" w:rsidRDefault="00B16F2E">
                      <w:pPr>
                        <w:jc w:val="center"/>
                        <w:textDirection w:val="btLr"/>
                      </w:pPr>
                      <w:r>
                        <w:rPr>
                          <w:rFonts w:eastAsia="Times New Roman"/>
                          <w:b/>
                          <w:color w:val="000000"/>
                          <w:sz w:val="28"/>
                        </w:rPr>
                        <w:t>Universitas Abulyatama</w:t>
                      </w:r>
                    </w:p>
                    <w:p w14:paraId="40206BAE" w14:textId="77777777" w:rsidR="00A41870" w:rsidRDefault="00B16F2E">
                      <w:pPr>
                        <w:jc w:val="center"/>
                        <w:textDirection w:val="btLr"/>
                      </w:pPr>
                      <w:r>
                        <w:rPr>
                          <w:rFonts w:eastAsia="Times New Roman"/>
                          <w:b/>
                          <w:color w:val="000000"/>
                          <w:sz w:val="32"/>
                        </w:rPr>
                        <w:t xml:space="preserve">Jurnal Dedikasi Pendidikan </w:t>
                      </w:r>
                    </w:p>
                  </w:txbxContent>
                </v:textbox>
              </v:rect>
            </w:pict>
          </mc:Fallback>
        </mc:AlternateContent>
      </w:r>
      <w:r>
        <w:rPr>
          <w:noProof/>
        </w:rPr>
        <w:drawing>
          <wp:anchor distT="0" distB="0" distL="114300" distR="114300" simplePos="0" relativeHeight="251659264" behindDoc="0" locked="0" layoutInCell="1" hidden="0" allowOverlap="1" wp14:anchorId="1D24B0E7" wp14:editId="23A35A59">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8"/>
                    <a:srcRect r="3792" b="3590"/>
                    <a:stretch>
                      <a:fillRect/>
                    </a:stretch>
                  </pic:blipFill>
                  <pic:spPr>
                    <a:xfrm>
                      <a:off x="0" y="0"/>
                      <a:ext cx="684217" cy="955040"/>
                    </a:xfrm>
                    <a:prstGeom prst="rect">
                      <a:avLst/>
                    </a:prstGeom>
                    <a:ln/>
                  </pic:spPr>
                </pic:pic>
              </a:graphicData>
            </a:graphic>
          </wp:anchor>
        </w:drawing>
      </w:r>
    </w:p>
    <w:p w14:paraId="455F3D15" w14:textId="77777777" w:rsidR="00A41870" w:rsidRDefault="00A4187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71B720F9" w14:textId="77777777" w:rsidR="00A41870" w:rsidRDefault="00B16F2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4CCDC64C" wp14:editId="0D3D33C5">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7FF7BE17" wp14:editId="5E447B07">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73A3D4FE" w14:textId="77777777" w:rsidR="00C327CE" w:rsidRDefault="00B16F2E" w:rsidP="00C327CE">
      <w:pPr>
        <w:jc w:val="center"/>
        <w:outlineLvl w:val="1"/>
        <w:rPr>
          <w:rFonts w:asciiTheme="majorBidi" w:eastAsia="Times New Roman" w:hAnsiTheme="majorBidi" w:cstheme="majorBidi"/>
          <w:b/>
          <w:bCs/>
          <w:szCs w:val="24"/>
          <w:lang w:val="sv-SE"/>
        </w:rPr>
      </w:pPr>
      <w:bookmarkStart w:id="0" w:name="_heading=h.gjdgxs" w:colFirst="0" w:colLast="0"/>
      <w:bookmarkEnd w:id="0"/>
      <w:r>
        <w:rPr>
          <w:rFonts w:eastAsia="Times New Roman"/>
          <w:b/>
          <w:color w:val="000000"/>
          <w:sz w:val="32"/>
          <w:szCs w:val="32"/>
        </w:rPr>
        <w:tab/>
      </w:r>
      <w:r w:rsidR="00C327CE" w:rsidRPr="000A69E2">
        <w:rPr>
          <w:rFonts w:asciiTheme="majorBidi" w:eastAsia="Times New Roman" w:hAnsiTheme="majorBidi" w:cstheme="majorBidi"/>
          <w:b/>
          <w:bCs/>
          <w:szCs w:val="24"/>
          <w:lang w:val="sv-SE"/>
        </w:rPr>
        <w:t xml:space="preserve">DAMPAK AKREDITASI DAYAH OLEH BADAN AKREDITASI DAYAH </w:t>
      </w:r>
    </w:p>
    <w:p w14:paraId="5019677C" w14:textId="4E537B09" w:rsidR="00C327CE" w:rsidRPr="000A69E2" w:rsidRDefault="00C327CE" w:rsidP="00C327CE">
      <w:pPr>
        <w:jc w:val="center"/>
        <w:outlineLvl w:val="1"/>
        <w:rPr>
          <w:rFonts w:asciiTheme="majorBidi" w:eastAsia="Times New Roman" w:hAnsiTheme="majorBidi" w:cstheme="majorBidi"/>
          <w:b/>
          <w:bCs/>
          <w:szCs w:val="24"/>
          <w:lang w:val="sv-SE"/>
        </w:rPr>
      </w:pPr>
      <w:r w:rsidRPr="000A69E2">
        <w:rPr>
          <w:rFonts w:asciiTheme="majorBidi" w:eastAsia="Times New Roman" w:hAnsiTheme="majorBidi" w:cstheme="majorBidi"/>
          <w:b/>
          <w:bCs/>
          <w:szCs w:val="24"/>
          <w:lang w:val="sv-SE"/>
        </w:rPr>
        <w:t xml:space="preserve">ACEH DALAM MENINGKATKAN KUALITAS PEMBELAJARAN </w:t>
      </w:r>
    </w:p>
    <w:p w14:paraId="5DE2513D" w14:textId="77777777" w:rsidR="00C327CE" w:rsidRDefault="00C327CE" w:rsidP="00C327CE">
      <w:pPr>
        <w:jc w:val="center"/>
        <w:outlineLvl w:val="1"/>
        <w:rPr>
          <w:rFonts w:asciiTheme="majorBidi" w:eastAsia="Times New Roman" w:hAnsiTheme="majorBidi" w:cstheme="majorBidi"/>
          <w:b/>
          <w:bCs/>
          <w:szCs w:val="24"/>
          <w:lang w:val="sv-SE"/>
        </w:rPr>
      </w:pPr>
      <w:r w:rsidRPr="000A69E2">
        <w:rPr>
          <w:rFonts w:asciiTheme="majorBidi" w:eastAsia="Times New Roman" w:hAnsiTheme="majorBidi" w:cstheme="majorBidi"/>
          <w:b/>
          <w:bCs/>
          <w:szCs w:val="24"/>
          <w:lang w:val="sv-SE"/>
        </w:rPr>
        <w:t xml:space="preserve">KITAB KUNING (TURĀṠ) PADA LEMBAGA </w:t>
      </w:r>
      <w:r>
        <w:rPr>
          <w:rFonts w:asciiTheme="majorBidi" w:eastAsia="Times New Roman" w:hAnsiTheme="majorBidi" w:cstheme="majorBidi"/>
          <w:b/>
          <w:bCs/>
          <w:szCs w:val="24"/>
          <w:lang w:val="sv-SE"/>
        </w:rPr>
        <w:t xml:space="preserve"> </w:t>
      </w:r>
    </w:p>
    <w:p w14:paraId="1978E233" w14:textId="1EEF5025" w:rsidR="00A41870" w:rsidRPr="00C327CE" w:rsidRDefault="00C327CE" w:rsidP="00C327CE">
      <w:pPr>
        <w:jc w:val="center"/>
        <w:outlineLvl w:val="1"/>
        <w:rPr>
          <w:rFonts w:asciiTheme="majorBidi" w:eastAsia="Times New Roman" w:hAnsiTheme="majorBidi" w:cstheme="majorBidi"/>
          <w:b/>
          <w:bCs/>
          <w:szCs w:val="24"/>
          <w:lang w:val="sv-SE"/>
        </w:rPr>
      </w:pPr>
      <w:r w:rsidRPr="000A69E2">
        <w:rPr>
          <w:rFonts w:asciiTheme="majorBidi" w:eastAsia="Times New Roman" w:hAnsiTheme="majorBidi" w:cstheme="majorBidi"/>
          <w:b/>
          <w:bCs/>
          <w:szCs w:val="24"/>
          <w:lang w:val="sv-SE"/>
        </w:rPr>
        <w:t>PENDIDIKAN DAYAH DI ACEH</w:t>
      </w:r>
      <w:r w:rsidR="00B16F2E" w:rsidRPr="00C327CE">
        <w:rPr>
          <w:rFonts w:eastAsia="Times New Roman"/>
          <w:b/>
          <w:color w:val="000000"/>
          <w:sz w:val="32"/>
          <w:szCs w:val="32"/>
          <w:lang w:val="sv-SE"/>
        </w:rPr>
        <w:tab/>
      </w:r>
    </w:p>
    <w:p w14:paraId="4D8A8E2D" w14:textId="60E2539F" w:rsidR="00A41870" w:rsidRPr="00352DE4" w:rsidRDefault="00554BBF">
      <w:pPr>
        <w:pBdr>
          <w:top w:val="nil"/>
          <w:left w:val="nil"/>
          <w:bottom w:val="nil"/>
          <w:right w:val="nil"/>
          <w:between w:val="nil"/>
        </w:pBdr>
        <w:spacing w:before="480" w:after="60"/>
        <w:ind w:firstLine="28"/>
        <w:jc w:val="center"/>
        <w:rPr>
          <w:rFonts w:eastAsia="Times New Roman"/>
          <w:b/>
          <w:color w:val="000000"/>
          <w:sz w:val="22"/>
          <w:szCs w:val="22"/>
          <w:lang w:val="sv-SE"/>
        </w:rPr>
      </w:pPr>
      <w:r w:rsidRPr="00352DE4">
        <w:rPr>
          <w:rFonts w:eastAsia="Times New Roman"/>
          <w:b/>
          <w:color w:val="000000"/>
          <w:sz w:val="22"/>
          <w:szCs w:val="22"/>
          <w:lang w:val="sv-SE"/>
        </w:rPr>
        <w:t>Adnin AS</w:t>
      </w:r>
      <w:r w:rsidR="00B16F2E" w:rsidRPr="00352DE4">
        <w:rPr>
          <w:rFonts w:eastAsia="Times New Roman"/>
          <w:b/>
          <w:color w:val="000000"/>
          <w:sz w:val="22"/>
          <w:szCs w:val="22"/>
          <w:vertAlign w:val="superscript"/>
          <w:lang w:val="sv-SE"/>
        </w:rPr>
        <w:t>1*</w:t>
      </w:r>
      <w:r w:rsidR="00B16F2E" w:rsidRPr="00352DE4">
        <w:rPr>
          <w:rFonts w:eastAsia="Times New Roman"/>
          <w:b/>
          <w:color w:val="000000"/>
          <w:sz w:val="22"/>
          <w:szCs w:val="22"/>
          <w:lang w:val="sv-SE"/>
        </w:rPr>
        <w:t xml:space="preserve">, </w:t>
      </w:r>
      <w:r w:rsidR="00352DE4" w:rsidRPr="00352DE4">
        <w:rPr>
          <w:rFonts w:eastAsia="Times New Roman"/>
          <w:b/>
          <w:color w:val="000000"/>
          <w:sz w:val="22"/>
          <w:szCs w:val="22"/>
          <w:lang w:val="sv-SE"/>
        </w:rPr>
        <w:t>Jaisar Raju</w:t>
      </w:r>
      <w:r w:rsidR="00B16F2E" w:rsidRPr="00352DE4">
        <w:rPr>
          <w:rFonts w:eastAsia="Times New Roman"/>
          <w:b/>
          <w:color w:val="000000"/>
          <w:sz w:val="22"/>
          <w:szCs w:val="22"/>
          <w:vertAlign w:val="superscript"/>
          <w:lang w:val="sv-SE"/>
        </w:rPr>
        <w:t>2</w:t>
      </w:r>
      <w:r w:rsidR="00352DE4" w:rsidRPr="00352DE4">
        <w:rPr>
          <w:rFonts w:eastAsia="Times New Roman"/>
          <w:b/>
          <w:color w:val="000000"/>
          <w:sz w:val="22"/>
          <w:szCs w:val="22"/>
          <w:lang w:val="sv-SE"/>
        </w:rPr>
        <w:t>, Indah Fitriani</w:t>
      </w:r>
      <w:r w:rsidR="00352DE4" w:rsidRPr="00352DE4">
        <w:rPr>
          <w:rFonts w:eastAsia="Times New Roman"/>
          <w:b/>
          <w:color w:val="000000"/>
          <w:sz w:val="22"/>
          <w:szCs w:val="22"/>
          <w:vertAlign w:val="superscript"/>
          <w:lang w:val="sv-SE"/>
        </w:rPr>
        <w:t>3</w:t>
      </w:r>
    </w:p>
    <w:p w14:paraId="577D3168" w14:textId="71CF0FBD" w:rsidR="00A41870" w:rsidRPr="00352DE4" w:rsidRDefault="00B16F2E" w:rsidP="00352DE4">
      <w:pPr>
        <w:jc w:val="left"/>
        <w:rPr>
          <w:rFonts w:asciiTheme="majorBidi" w:eastAsia="Times New Roman" w:hAnsiTheme="majorBidi" w:cstheme="majorBidi"/>
          <w:szCs w:val="24"/>
          <w:lang w:val="sv-SE" w:eastAsia="id-ID"/>
        </w:rPr>
      </w:pPr>
      <w:r w:rsidRPr="00C327CE">
        <w:rPr>
          <w:rFonts w:eastAsia="Times New Roman"/>
          <w:color w:val="000000"/>
          <w:sz w:val="22"/>
          <w:szCs w:val="22"/>
          <w:vertAlign w:val="superscript"/>
          <w:lang w:val="sv-SE"/>
        </w:rPr>
        <w:t>1</w:t>
      </w:r>
      <w:r w:rsidR="00352DE4" w:rsidRPr="000A69E2">
        <w:rPr>
          <w:rFonts w:asciiTheme="majorBidi" w:eastAsia="Times New Roman" w:hAnsiTheme="majorBidi" w:cstheme="majorBidi"/>
          <w:szCs w:val="24"/>
          <w:lang w:val="sv-SE" w:eastAsia="id-ID"/>
        </w:rPr>
        <w:t>Dosen pada Universitas Al Washliyah Darussalam Banda Aceh, Banda Aceh</w:t>
      </w:r>
    </w:p>
    <w:p w14:paraId="2AF3D996" w14:textId="5A4E535D" w:rsidR="00352DE4" w:rsidRPr="00352DE4" w:rsidRDefault="00B16F2E" w:rsidP="00352DE4">
      <w:pPr>
        <w:jc w:val="left"/>
        <w:rPr>
          <w:rFonts w:asciiTheme="majorBidi" w:eastAsia="Times New Roman" w:hAnsiTheme="majorBidi" w:cstheme="majorBidi"/>
          <w:szCs w:val="24"/>
          <w:lang w:val="sv-SE" w:eastAsia="id-ID"/>
        </w:rPr>
      </w:pPr>
      <w:r w:rsidRPr="00C327CE">
        <w:rPr>
          <w:rFonts w:eastAsia="Times New Roman"/>
          <w:color w:val="000000"/>
          <w:sz w:val="22"/>
          <w:szCs w:val="22"/>
          <w:vertAlign w:val="superscript"/>
          <w:lang w:val="sv-SE"/>
        </w:rPr>
        <w:t>2</w:t>
      </w:r>
      <w:r w:rsidR="00352DE4" w:rsidRPr="00352DE4">
        <w:rPr>
          <w:rFonts w:asciiTheme="majorBidi" w:eastAsia="Times New Roman" w:hAnsiTheme="majorBidi" w:cstheme="majorBidi"/>
          <w:szCs w:val="24"/>
          <w:lang w:val="sv-SE" w:eastAsia="id-ID"/>
        </w:rPr>
        <w:t xml:space="preserve"> </w:t>
      </w:r>
      <w:r w:rsidR="00352DE4" w:rsidRPr="000A69E2">
        <w:rPr>
          <w:rFonts w:asciiTheme="majorBidi" w:eastAsia="Times New Roman" w:hAnsiTheme="majorBidi" w:cstheme="majorBidi"/>
          <w:szCs w:val="24"/>
          <w:lang w:val="sv-SE" w:eastAsia="id-ID"/>
        </w:rPr>
        <w:t>Dosen pada Universitas Al Washliyah Darussalam Banda Aceh, Banda Aceh</w:t>
      </w:r>
    </w:p>
    <w:p w14:paraId="5DDB09DC" w14:textId="624F6325" w:rsidR="00A41870" w:rsidRDefault="00B16F2E" w:rsidP="00352DE4">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352DE4">
        <w:rPr>
          <w:rFonts w:eastAsia="Times New Roman"/>
          <w:color w:val="000000"/>
          <w:sz w:val="22"/>
          <w:szCs w:val="22"/>
        </w:rPr>
        <w:t>adninas</w:t>
      </w:r>
      <w:r>
        <w:rPr>
          <w:rFonts w:eastAsia="Times New Roman"/>
          <w:color w:val="000000"/>
          <w:sz w:val="22"/>
          <w:szCs w:val="22"/>
        </w:rPr>
        <w:t>@</w:t>
      </w:r>
      <w:r w:rsidR="00352DE4">
        <w:rPr>
          <w:rFonts w:eastAsia="Times New Roman"/>
          <w:color w:val="000000"/>
          <w:sz w:val="22"/>
          <w:szCs w:val="22"/>
        </w:rPr>
        <w:t>unadabna</w:t>
      </w:r>
      <w:r>
        <w:rPr>
          <w:rFonts w:eastAsia="Times New Roman"/>
          <w:color w:val="000000"/>
          <w:sz w:val="22"/>
          <w:szCs w:val="22"/>
        </w:rPr>
        <w:t>.ac.id</w:t>
      </w:r>
      <w:r>
        <w:rPr>
          <w:rFonts w:eastAsia="Times New Roman"/>
          <w:color w:val="000000"/>
          <w:sz w:val="22"/>
          <w:szCs w:val="22"/>
          <w:vertAlign w:val="superscript"/>
        </w:rPr>
        <w:t>1</w:t>
      </w:r>
    </w:p>
    <w:p w14:paraId="37161B42" w14:textId="77777777" w:rsidR="00A41870" w:rsidRDefault="00A41870">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662080C0" w14:textId="77777777" w:rsidR="00A41870" w:rsidRDefault="00B16F2E">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rPr>
        <mc:AlternateContent>
          <mc:Choice Requires="wpg">
            <w:drawing>
              <wp:anchor distT="0" distB="0" distL="114300" distR="114300" simplePos="0" relativeHeight="251662336" behindDoc="0" locked="0" layoutInCell="1" hidden="0" allowOverlap="1" wp14:anchorId="0430B35B" wp14:editId="5B5D6E8B">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0745A52A" w14:textId="4539480A" w:rsidR="00A15749" w:rsidRPr="00A15749" w:rsidRDefault="00B16F2E" w:rsidP="00A15749">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A15749" w:rsidRPr="008A7D87">
        <w:rPr>
          <w:rFonts w:eastAsia="Times New Roman"/>
          <w:i/>
          <w:iCs/>
          <w:szCs w:val="24"/>
          <w:lang w:val="id-ID" w:eastAsia="id-ID"/>
        </w:rPr>
        <w:t>Dayah, as a traditional Islamic educational institution in Aceh, plays a fundamental role in preserving the intellectual heritage of Islam through the teaching of classical texts (turāṡ). Nevertheless, the development of modern education systems requires measurable quality standards to ensure that dayah remains relevant and formally recognized. The main problem lies in the absence of a consistent quality assurance system, which raises concerns about the management, curriculum, and social legitimacy of dayah. The urgency of this study rests on the pressing need to ensure that the tradition of turāṡ learning not only survives but also develops in accordance with contemporary educational standards.</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This study aims to analyze the impact of accreditation carried out by the Aceh Dayah Accreditation Board (BADA) on improving the quality of turāṡ learning. Evidence indicates that accreditation has become a crucial instrument in curriculum restructuring, enhancing teacher professionalism, improving governance, and strengthening the social legitimacy of dayah within the community.</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The research employed a descriptive qualitative approach. Primary data were obtained through in-depth interviews with members of the Aceh Dayah Accreditation Council, dayah leaders, turāṡ teachers, and students. Secondary data were drawn from official BADA documents, government regulations on dayah curriculum, and relevant literature on Islamic education quality. Data analysis followed Miles and Huberman’s model, consisting of data reduction, data display, and conclusion drawing.</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The findings reveal that accreditation significantly influences the restructuring of turāṡ curriculum, the enhancement of teacher competence, the organization of student learning activities, the professionalization of dayah management, and the increase of public trust. Nevertheless, challenges remain, such as the limited number of assessors, administrative difficulties, and resistance from some dayah leaders.</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This study recommends strengthening mentoring programs, digitalizing the accreditation system, and developing more adaptive quality indicators for contemporary Islamic education. Thus, accreditation can function not only as an assessment instrument but also as a sustainable development mechanism that preserves tradition while enhancing the competitiveness of dayah in Aceh.</w:t>
      </w:r>
    </w:p>
    <w:p w14:paraId="3742D5D7" w14:textId="250ED620" w:rsidR="00A15749" w:rsidRPr="00A15749" w:rsidRDefault="00B16F2E" w:rsidP="00A15749">
      <w:pPr>
        <w:widowControl/>
        <w:pBdr>
          <w:top w:val="nil"/>
          <w:left w:val="nil"/>
          <w:bottom w:val="none" w:sz="0" w:space="0" w:color="000000"/>
          <w:right w:val="nil"/>
          <w:between w:val="nil"/>
        </w:pBdr>
        <w:spacing w:before="120" w:line="228" w:lineRule="auto"/>
        <w:ind w:left="1276" w:right="423" w:hanging="995"/>
        <w:rPr>
          <w:rFonts w:eastAsia="Times New Roman"/>
          <w:b/>
          <w:i/>
          <w:color w:val="000000"/>
        </w:rPr>
      </w:pPr>
      <w:r w:rsidRPr="00A15749">
        <w:rPr>
          <w:rFonts w:eastAsia="Times New Roman"/>
          <w:i/>
          <w:color w:val="000000"/>
        </w:rPr>
        <w:t xml:space="preserve">Keywords </w:t>
      </w:r>
      <w:r w:rsidRPr="00A15749">
        <w:rPr>
          <w:rFonts w:eastAsia="Times New Roman"/>
          <w:b/>
          <w:i/>
          <w:color w:val="000000"/>
        </w:rPr>
        <w:t xml:space="preserve">: </w:t>
      </w:r>
      <w:r w:rsidR="00A15749" w:rsidRPr="00A15749">
        <w:rPr>
          <w:rFonts w:eastAsia="Times New Roman"/>
          <w:b/>
          <w:bCs/>
          <w:i/>
          <w:iCs/>
          <w:szCs w:val="24"/>
          <w:lang w:val="id-ID" w:eastAsia="id-ID"/>
        </w:rPr>
        <w:t xml:space="preserve">Dayah </w:t>
      </w:r>
      <w:r w:rsidR="00A15749" w:rsidRPr="00A15749">
        <w:rPr>
          <w:rFonts w:eastAsia="Times New Roman"/>
          <w:b/>
          <w:bCs/>
          <w:i/>
          <w:iCs/>
          <w:szCs w:val="24"/>
          <w:lang w:val="id-ID" w:eastAsia="id-ID"/>
        </w:rPr>
        <w:t>accreditation</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turāṡ (classical Islamic texts)</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Aceh Dayah Accreditation Board</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Islamic education quality</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educational governance.</w:t>
      </w:r>
    </w:p>
    <w:p w14:paraId="19C4FDD1" w14:textId="1DBF7EB3" w:rsidR="00A15749" w:rsidRPr="00A15749" w:rsidRDefault="00B16F2E" w:rsidP="00A15749">
      <w:pPr>
        <w:pBdr>
          <w:top w:val="nil"/>
          <w:left w:val="nil"/>
          <w:bottom w:val="nil"/>
          <w:right w:val="nil"/>
          <w:between w:val="nil"/>
        </w:pBdr>
        <w:spacing w:before="240"/>
        <w:ind w:left="284" w:right="-30" w:firstLine="0"/>
        <w:rPr>
          <w:rFonts w:eastAsia="Times New Roman"/>
          <w:color w:val="000000"/>
          <w:lang w:val="sv-SE"/>
        </w:rPr>
      </w:pPr>
      <w:r w:rsidRPr="00C327CE">
        <w:rPr>
          <w:rFonts w:eastAsia="Times New Roman"/>
          <w:b/>
          <w:color w:val="000000"/>
          <w:lang w:val="sv-SE"/>
        </w:rPr>
        <w:t>Abstrak:</w:t>
      </w:r>
      <w:r w:rsidRPr="00C327CE">
        <w:rPr>
          <w:rFonts w:eastAsia="Times New Roman"/>
          <w:color w:val="000000"/>
          <w:lang w:val="sv-SE"/>
        </w:rPr>
        <w:t xml:space="preserve"> </w:t>
      </w:r>
      <w:r w:rsidR="00A15749" w:rsidRPr="005C0CCD">
        <w:rPr>
          <w:rFonts w:asciiTheme="majorBidi" w:eastAsia="Times New Roman" w:hAnsiTheme="majorBidi" w:cstheme="majorBidi"/>
          <w:szCs w:val="24"/>
          <w:lang w:val="id-ID" w:eastAsia="id-ID"/>
        </w:rPr>
        <w:t>Dayah sebagai lembaga pendidikan Islam tradisional di Aceh memiliki peran fundamental dalam menjaga warisan intelektual Islam melalui pembelajaran kitab kuning (</w:t>
      </w:r>
      <w:r w:rsidR="00A15749" w:rsidRPr="005C0CCD">
        <w:rPr>
          <w:rFonts w:asciiTheme="majorBidi" w:eastAsia="Times New Roman" w:hAnsiTheme="majorBidi" w:cstheme="majorBidi"/>
          <w:i/>
          <w:iCs/>
          <w:szCs w:val="24"/>
          <w:lang w:val="id-ID" w:eastAsia="id-ID"/>
        </w:rPr>
        <w:t>turāṡ</w:t>
      </w:r>
      <w:r w:rsidR="00A15749" w:rsidRPr="005C0CCD">
        <w:rPr>
          <w:rFonts w:asciiTheme="majorBidi" w:eastAsia="Times New Roman" w:hAnsiTheme="majorBidi" w:cstheme="majorBidi"/>
          <w:szCs w:val="24"/>
          <w:lang w:val="id-ID" w:eastAsia="id-ID"/>
        </w:rPr>
        <w:t xml:space="preserve">). Meski demikian, perkembangan sistem pendidikan modern menuntut adanya standar mutu yang terukur agar keberadaan dayah tetap relevan dan diakui secara formal. </w:t>
      </w:r>
      <w:r w:rsidR="00A15749" w:rsidRPr="008A7D87">
        <w:rPr>
          <w:rFonts w:asciiTheme="majorBidi" w:eastAsia="Times New Roman" w:hAnsiTheme="majorBidi" w:cstheme="majorBidi"/>
          <w:szCs w:val="24"/>
          <w:lang w:val="id-ID" w:eastAsia="id-ID"/>
        </w:rPr>
        <w:t xml:space="preserve">Adapun permasalah </w:t>
      </w:r>
      <w:r w:rsidR="00A15749" w:rsidRPr="005C0CCD">
        <w:rPr>
          <w:rFonts w:asciiTheme="majorBidi" w:eastAsia="Times New Roman" w:hAnsiTheme="majorBidi" w:cstheme="majorBidi"/>
          <w:szCs w:val="24"/>
          <w:lang w:val="id-ID" w:eastAsia="id-ID"/>
        </w:rPr>
        <w:t xml:space="preserve">yang muncul </w:t>
      </w:r>
      <w:r w:rsidR="00A15749" w:rsidRPr="008A7D87">
        <w:rPr>
          <w:rFonts w:asciiTheme="majorBidi" w:eastAsia="Times New Roman" w:hAnsiTheme="majorBidi" w:cstheme="majorBidi"/>
          <w:szCs w:val="24"/>
          <w:lang w:val="id-ID" w:eastAsia="id-ID"/>
        </w:rPr>
        <w:t xml:space="preserve">diantaranya yaitu </w:t>
      </w:r>
      <w:r w:rsidR="00A15749" w:rsidRPr="005C0CCD">
        <w:rPr>
          <w:rFonts w:asciiTheme="majorBidi" w:eastAsia="Times New Roman" w:hAnsiTheme="majorBidi" w:cstheme="majorBidi"/>
          <w:szCs w:val="24"/>
          <w:lang w:val="id-ID" w:eastAsia="id-ID"/>
        </w:rPr>
        <w:t xml:space="preserve">ketiadaan sistem penjaminan mutu yang konsisten, sehingga kualitas manajemen, kurikulum, dan legitimasi sosial dayah masih dipertanyakan. Urgensi penelitian ini terletak pada kebutuhan mendesak </w:t>
      </w:r>
      <w:r w:rsidR="00A15749" w:rsidRPr="008A7D87">
        <w:rPr>
          <w:rFonts w:asciiTheme="majorBidi" w:eastAsia="Times New Roman" w:hAnsiTheme="majorBidi" w:cstheme="majorBidi"/>
          <w:szCs w:val="24"/>
          <w:lang w:val="sv-SE" w:eastAsia="id-ID"/>
        </w:rPr>
        <w:t>se</w:t>
      </w:r>
      <w:r w:rsidR="00A15749">
        <w:rPr>
          <w:rFonts w:asciiTheme="majorBidi" w:eastAsia="Times New Roman" w:hAnsiTheme="majorBidi" w:cstheme="majorBidi"/>
          <w:szCs w:val="24"/>
          <w:lang w:val="sv-SE" w:eastAsia="id-ID"/>
        </w:rPr>
        <w:t xml:space="preserve">bagai </w:t>
      </w:r>
      <w:r w:rsidR="00A15749" w:rsidRPr="005C0CCD">
        <w:rPr>
          <w:rFonts w:asciiTheme="majorBidi" w:eastAsia="Times New Roman" w:hAnsiTheme="majorBidi" w:cstheme="majorBidi"/>
          <w:szCs w:val="24"/>
          <w:lang w:val="id-ID" w:eastAsia="id-ID"/>
        </w:rPr>
        <w:t xml:space="preserve">tradisi pembelajaran kitab kuning tidak hanya bertahan, </w:t>
      </w:r>
      <w:r w:rsidR="00A15749" w:rsidRPr="008A7D87">
        <w:rPr>
          <w:rFonts w:asciiTheme="majorBidi" w:eastAsia="Times New Roman" w:hAnsiTheme="majorBidi" w:cstheme="majorBidi"/>
          <w:szCs w:val="24"/>
          <w:lang w:val="sv-SE" w:eastAsia="id-ID"/>
        </w:rPr>
        <w:t>ak</w:t>
      </w:r>
      <w:r w:rsidR="00A15749">
        <w:rPr>
          <w:rFonts w:asciiTheme="majorBidi" w:eastAsia="Times New Roman" w:hAnsiTheme="majorBidi" w:cstheme="majorBidi"/>
          <w:szCs w:val="24"/>
          <w:lang w:val="sv-SE" w:eastAsia="id-ID"/>
        </w:rPr>
        <w:t xml:space="preserve">an </w:t>
      </w:r>
      <w:r w:rsidR="00A15749" w:rsidRPr="005C0CCD">
        <w:rPr>
          <w:rFonts w:asciiTheme="majorBidi" w:eastAsia="Times New Roman" w:hAnsiTheme="majorBidi" w:cstheme="majorBidi"/>
          <w:szCs w:val="24"/>
          <w:lang w:val="id-ID" w:eastAsia="id-ID"/>
        </w:rPr>
        <w:t>tetapi juga berkembang sesuai standar pendidikan kontemporer.</w:t>
      </w:r>
      <w:r w:rsidR="00A15749" w:rsidRPr="000A69E2">
        <w:rPr>
          <w:rFonts w:asciiTheme="majorBidi" w:eastAsia="Times New Roman" w:hAnsiTheme="majorBidi" w:cstheme="majorBidi"/>
          <w:szCs w:val="24"/>
          <w:lang w:val="sv-SE" w:eastAsia="id-ID"/>
        </w:rPr>
        <w:t xml:space="preserve"> </w:t>
      </w:r>
      <w:r w:rsidR="00A15749" w:rsidRPr="005C0CCD">
        <w:rPr>
          <w:rFonts w:asciiTheme="majorBidi" w:eastAsia="Times New Roman" w:hAnsiTheme="majorBidi" w:cstheme="majorBidi"/>
          <w:szCs w:val="24"/>
          <w:lang w:val="id-ID" w:eastAsia="id-ID"/>
        </w:rPr>
        <w:t xml:space="preserve">Penelitian ini bertujuan menganalisis dampak akreditasi yang dilakukan Badan Akreditasi Dayah Aceh (BADA) terhadap peningkatan kualitas pembelajaran kitab kuning. </w:t>
      </w:r>
      <w:r w:rsidR="00A15749" w:rsidRPr="008A7D87">
        <w:rPr>
          <w:rFonts w:asciiTheme="majorBidi" w:eastAsia="Times New Roman" w:hAnsiTheme="majorBidi" w:cstheme="majorBidi"/>
          <w:szCs w:val="24"/>
          <w:lang w:val="id-ID" w:eastAsia="id-ID"/>
        </w:rPr>
        <w:t xml:space="preserve">Selain itu, </w:t>
      </w:r>
      <w:r w:rsidR="00A15749" w:rsidRPr="005C0CCD">
        <w:rPr>
          <w:rFonts w:asciiTheme="majorBidi" w:eastAsia="Times New Roman" w:hAnsiTheme="majorBidi" w:cstheme="majorBidi"/>
          <w:szCs w:val="24"/>
          <w:lang w:val="id-ID" w:eastAsia="id-ID"/>
        </w:rPr>
        <w:t>akreditasi menjadi salah satu instrumen penting dalam menata kurikulum, meningkatkan profesionalisme guru, memperbaiki tata kelola, serta memperkuat legitimasi sosial dayah di tengah masyarakat.</w:t>
      </w:r>
      <w:r w:rsidR="00A15749" w:rsidRPr="000A69E2">
        <w:rPr>
          <w:rFonts w:asciiTheme="majorBidi" w:eastAsia="Times New Roman" w:hAnsiTheme="majorBidi" w:cstheme="majorBidi"/>
          <w:szCs w:val="24"/>
          <w:lang w:val="id-ID" w:eastAsia="id-ID"/>
        </w:rPr>
        <w:t xml:space="preserve"> </w:t>
      </w:r>
      <w:r w:rsidR="00A15749" w:rsidRPr="005C0CCD">
        <w:rPr>
          <w:rFonts w:asciiTheme="majorBidi" w:eastAsia="Times New Roman" w:hAnsiTheme="majorBidi" w:cstheme="majorBidi"/>
          <w:szCs w:val="24"/>
          <w:lang w:val="id-ID" w:eastAsia="id-ID"/>
        </w:rPr>
        <w:t xml:space="preserve">Metode penelitian menggunakan pendekatan kualitatif deskriptif </w:t>
      </w:r>
      <w:r w:rsidR="00A15749" w:rsidRPr="005C0CCD">
        <w:rPr>
          <w:rFonts w:asciiTheme="majorBidi" w:eastAsia="Times New Roman" w:hAnsiTheme="majorBidi" w:cstheme="majorBidi"/>
          <w:szCs w:val="24"/>
          <w:lang w:val="id-ID" w:eastAsia="id-ID"/>
        </w:rPr>
        <w:lastRenderedPageBreak/>
        <w:t>dengan data primer diperoleh melalui wawancara mendalam dengan anggota Majelis Akreditasi Dayah Aceh, pimpinan dayah, guru kitab kuning, dan santri. Data sekunder berasal dari dokumen resmi BADA, peraturan kurikulum dayah, serta literatur ilmiah terkait mutu pendidikan Islam. Analisis data dilakukan dengan model Miles dan Huberman, meliputi reduksi data, penyajian data, serta penarikan kesimpulan.</w:t>
      </w:r>
      <w:r w:rsidR="00A15749" w:rsidRPr="000A69E2">
        <w:rPr>
          <w:rFonts w:asciiTheme="majorBidi" w:eastAsia="Times New Roman" w:hAnsiTheme="majorBidi" w:cstheme="majorBidi"/>
          <w:szCs w:val="24"/>
          <w:lang w:val="sv-SE" w:eastAsia="id-ID"/>
        </w:rPr>
        <w:t xml:space="preserve"> </w:t>
      </w:r>
      <w:r w:rsidR="00A15749" w:rsidRPr="005C0CCD">
        <w:rPr>
          <w:rFonts w:asciiTheme="majorBidi" w:eastAsia="Times New Roman" w:hAnsiTheme="majorBidi" w:cstheme="majorBidi"/>
          <w:szCs w:val="24"/>
          <w:lang w:val="id-ID" w:eastAsia="id-ID"/>
        </w:rPr>
        <w:t xml:space="preserve">Hasil penelitian menunjukkan bahwa akreditasi berpengaruh signifikan terhadap penataan kurikulum kitab kuning, peningkatan kompetensi guru, keteraturan aktivitas belajar santri, profesionalisasi tata kelola dayah, serta meningkatnya kepercayaan masyarakat. </w:t>
      </w:r>
      <w:r w:rsidR="00A15749" w:rsidRPr="008A7D87">
        <w:rPr>
          <w:rFonts w:asciiTheme="majorBidi" w:eastAsia="Times New Roman" w:hAnsiTheme="majorBidi" w:cstheme="majorBidi"/>
          <w:szCs w:val="24"/>
          <w:lang w:val="sv-SE" w:eastAsia="id-ID"/>
        </w:rPr>
        <w:t>Se</w:t>
      </w:r>
      <w:r w:rsidR="00A15749">
        <w:rPr>
          <w:rFonts w:asciiTheme="majorBidi" w:eastAsia="Times New Roman" w:hAnsiTheme="majorBidi" w:cstheme="majorBidi"/>
          <w:szCs w:val="24"/>
          <w:lang w:val="sv-SE" w:eastAsia="id-ID"/>
        </w:rPr>
        <w:t>mentara itu,</w:t>
      </w:r>
      <w:r w:rsidR="00A15749" w:rsidRPr="005C0CCD">
        <w:rPr>
          <w:rFonts w:asciiTheme="majorBidi" w:eastAsia="Times New Roman" w:hAnsiTheme="majorBidi" w:cstheme="majorBidi"/>
          <w:szCs w:val="24"/>
          <w:lang w:val="id-ID" w:eastAsia="id-ID"/>
        </w:rPr>
        <w:t xml:space="preserve"> tantangan </w:t>
      </w:r>
      <w:r w:rsidR="00A15749" w:rsidRPr="008A7D87">
        <w:rPr>
          <w:rFonts w:asciiTheme="majorBidi" w:eastAsia="Times New Roman" w:hAnsiTheme="majorBidi" w:cstheme="majorBidi"/>
          <w:szCs w:val="24"/>
          <w:lang w:val="sv-SE" w:eastAsia="id-ID"/>
        </w:rPr>
        <w:t>ya</w:t>
      </w:r>
      <w:r w:rsidR="00A15749">
        <w:rPr>
          <w:rFonts w:asciiTheme="majorBidi" w:eastAsia="Times New Roman" w:hAnsiTheme="majorBidi" w:cstheme="majorBidi"/>
          <w:szCs w:val="24"/>
          <w:lang w:val="sv-SE" w:eastAsia="id-ID"/>
        </w:rPr>
        <w:t xml:space="preserve">ng </w:t>
      </w:r>
      <w:r w:rsidR="00A15749" w:rsidRPr="005C0CCD">
        <w:rPr>
          <w:rFonts w:asciiTheme="majorBidi" w:eastAsia="Times New Roman" w:hAnsiTheme="majorBidi" w:cstheme="majorBidi"/>
          <w:szCs w:val="24"/>
          <w:lang w:val="id-ID" w:eastAsia="id-ID"/>
        </w:rPr>
        <w:t>masih dihadapi</w:t>
      </w:r>
      <w:r w:rsidR="00A15749" w:rsidRPr="008A7D87">
        <w:rPr>
          <w:rFonts w:asciiTheme="majorBidi" w:eastAsia="Times New Roman" w:hAnsiTheme="majorBidi" w:cstheme="majorBidi"/>
          <w:szCs w:val="24"/>
          <w:lang w:val="sv-SE" w:eastAsia="id-ID"/>
        </w:rPr>
        <w:t xml:space="preserve"> </w:t>
      </w:r>
      <w:r w:rsidR="00A15749">
        <w:rPr>
          <w:rFonts w:asciiTheme="majorBidi" w:eastAsia="Times New Roman" w:hAnsiTheme="majorBidi" w:cstheme="majorBidi"/>
          <w:szCs w:val="24"/>
          <w:lang w:val="sv-SE" w:eastAsia="id-ID"/>
        </w:rPr>
        <w:t xml:space="preserve">ayitu </w:t>
      </w:r>
      <w:r w:rsidR="00A15749" w:rsidRPr="005C0CCD">
        <w:rPr>
          <w:rFonts w:asciiTheme="majorBidi" w:eastAsia="Times New Roman" w:hAnsiTheme="majorBidi" w:cstheme="majorBidi"/>
          <w:szCs w:val="24"/>
          <w:lang w:val="id-ID" w:eastAsia="id-ID"/>
        </w:rPr>
        <w:t>keterbatasan SDM asesor, kesulitan administrasi, dan resistensi sebagian pimpinan dayah.</w:t>
      </w:r>
      <w:r w:rsidR="00A15749" w:rsidRPr="000A69E2">
        <w:rPr>
          <w:rFonts w:asciiTheme="majorBidi" w:eastAsia="Times New Roman" w:hAnsiTheme="majorBidi" w:cstheme="majorBidi"/>
          <w:szCs w:val="24"/>
          <w:lang w:val="sv-SE" w:eastAsia="id-ID"/>
        </w:rPr>
        <w:t xml:space="preserve"> </w:t>
      </w:r>
      <w:r w:rsidR="00A15749" w:rsidRPr="005C0CCD">
        <w:rPr>
          <w:rFonts w:asciiTheme="majorBidi" w:eastAsia="Times New Roman" w:hAnsiTheme="majorBidi" w:cstheme="majorBidi"/>
          <w:szCs w:val="24"/>
          <w:lang w:val="id-ID" w:eastAsia="id-ID"/>
        </w:rPr>
        <w:t>Rekomendasi penelitian ini perlunya penguatan pendampingan, digitalisasi sistem akreditasi, serta pengembangan indikator mutu yang lebih adaptif terhadap dinamika pendidikan Islam modern. Dengan demikian, akreditasi dapat berfungsi tidak hanya sebagai instrumen penilaian</w:t>
      </w:r>
      <w:r w:rsidR="00A15749" w:rsidRPr="008A7D87">
        <w:rPr>
          <w:rFonts w:asciiTheme="majorBidi" w:eastAsia="Times New Roman" w:hAnsiTheme="majorBidi" w:cstheme="majorBidi"/>
          <w:szCs w:val="24"/>
          <w:lang w:val="id-ID" w:eastAsia="id-ID"/>
        </w:rPr>
        <w:t xml:space="preserve"> </w:t>
      </w:r>
      <w:r w:rsidR="00A15749" w:rsidRPr="005C0CCD">
        <w:rPr>
          <w:rFonts w:asciiTheme="majorBidi" w:eastAsia="Times New Roman" w:hAnsiTheme="majorBidi" w:cstheme="majorBidi"/>
          <w:szCs w:val="24"/>
          <w:lang w:val="id-ID" w:eastAsia="id-ID"/>
        </w:rPr>
        <w:t>sebagai mekanisme pembinaan berkelanjutan yang menjaga tradisi sekaligus meningkatkan daya saing dayah di Aceh.</w:t>
      </w:r>
    </w:p>
    <w:p w14:paraId="0FA5BA8F" w14:textId="18DEDF00" w:rsidR="00A15749" w:rsidRPr="00C327CE" w:rsidRDefault="00B16F2E" w:rsidP="00A15749">
      <w:pPr>
        <w:pBdr>
          <w:top w:val="nil"/>
          <w:left w:val="nil"/>
          <w:bottom w:val="nil"/>
          <w:right w:val="nil"/>
          <w:between w:val="nil"/>
        </w:pBdr>
        <w:spacing w:before="240"/>
        <w:ind w:left="1560" w:right="281" w:hanging="1276"/>
        <w:rPr>
          <w:rFonts w:eastAsia="Times New Roman"/>
          <w:b/>
          <w:color w:val="000000"/>
          <w:lang w:val="sv-SE"/>
        </w:rPr>
        <w:sectPr w:rsidR="00A15749" w:rsidRPr="00C327CE">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r w:rsidRPr="00C327CE">
        <w:rPr>
          <w:rFonts w:eastAsia="Times New Roman"/>
          <w:b/>
          <w:color w:val="000000"/>
          <w:lang w:val="sv-SE"/>
        </w:rPr>
        <w:t xml:space="preserve">Kata kunci : </w:t>
      </w:r>
      <w:r w:rsidR="00A15749">
        <w:rPr>
          <w:rFonts w:eastAsia="Times New Roman"/>
          <w:b/>
          <w:color w:val="000000"/>
          <w:lang w:val="sv-SE"/>
        </w:rPr>
        <w:t xml:space="preserve"> </w:t>
      </w:r>
      <w:r w:rsidR="00A15749" w:rsidRPr="00A15749">
        <w:rPr>
          <w:rFonts w:asciiTheme="majorBidi" w:eastAsia="Times New Roman" w:hAnsiTheme="majorBidi" w:cstheme="majorBidi"/>
          <w:b/>
          <w:bCs/>
          <w:szCs w:val="24"/>
          <w:lang w:val="id-ID" w:eastAsia="id-ID"/>
        </w:rPr>
        <w:t>Akreditasi Dayah</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Kitab Kuning</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Badan Akreditasi Dayah Aceh</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Mutu Pendidikan Islam</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Tata Kelola Pendidikan.</w:t>
      </w:r>
    </w:p>
    <w:p w14:paraId="63F2BFC9" w14:textId="77777777" w:rsidR="00A41870" w:rsidRPr="00C327CE" w:rsidRDefault="00A41870">
      <w:pPr>
        <w:pBdr>
          <w:top w:val="nil"/>
          <w:left w:val="nil"/>
          <w:bottom w:val="nil"/>
          <w:right w:val="nil"/>
          <w:between w:val="nil"/>
        </w:pBdr>
        <w:spacing w:line="360" w:lineRule="auto"/>
        <w:ind w:firstLine="0"/>
        <w:rPr>
          <w:rFonts w:eastAsia="Times New Roman"/>
          <w:color w:val="000000"/>
          <w:sz w:val="22"/>
          <w:szCs w:val="22"/>
          <w:lang w:val="sv-SE"/>
        </w:rPr>
        <w:sectPr w:rsidR="00A41870" w:rsidRPr="00C327CE">
          <w:type w:val="continuous"/>
          <w:pgSz w:w="11906" w:h="16838"/>
          <w:pgMar w:top="1701" w:right="1418" w:bottom="1418" w:left="1418" w:header="851" w:footer="709" w:gutter="0"/>
          <w:cols w:num="2" w:space="720" w:equalWidth="0">
            <w:col w:w="4180" w:space="709"/>
            <w:col w:w="4180" w:space="0"/>
          </w:cols>
        </w:sectPr>
      </w:pPr>
    </w:p>
    <w:p w14:paraId="72B478EE" w14:textId="77777777" w:rsidR="00A41870" w:rsidRPr="00C327CE" w:rsidRDefault="00B16F2E">
      <w:pPr>
        <w:pBdr>
          <w:top w:val="nil"/>
          <w:left w:val="nil"/>
          <w:bottom w:val="nil"/>
          <w:right w:val="nil"/>
          <w:between w:val="nil"/>
        </w:pBdr>
        <w:spacing w:line="360" w:lineRule="auto"/>
        <w:ind w:firstLine="0"/>
        <w:rPr>
          <w:b/>
          <w:lang w:val="sv-SE"/>
        </w:rPr>
      </w:pPr>
      <w:r w:rsidRPr="00C327CE">
        <w:rPr>
          <w:b/>
          <w:lang w:val="sv-SE"/>
        </w:rPr>
        <w:t>PENDAHULUAN</w:t>
      </w:r>
    </w:p>
    <w:p w14:paraId="59F36F7B" w14:textId="77777777" w:rsidR="00A15749" w:rsidRPr="00394D8A" w:rsidRDefault="00A15749" w:rsidP="00A15749">
      <w:pPr>
        <w:spacing w:line="360" w:lineRule="auto"/>
        <w:ind w:firstLine="720"/>
        <w:rPr>
          <w:rFonts w:asciiTheme="majorBidi" w:eastAsia="Times New Roman" w:hAnsiTheme="majorBidi" w:cstheme="majorBidi"/>
          <w:szCs w:val="24"/>
          <w:lang w:val="id-ID" w:eastAsia="id-ID"/>
        </w:rPr>
      </w:pPr>
      <w:r w:rsidRPr="00394D8A">
        <w:rPr>
          <w:rFonts w:asciiTheme="majorBidi" w:eastAsia="Times New Roman" w:hAnsiTheme="majorBidi" w:cstheme="majorBidi"/>
          <w:szCs w:val="24"/>
          <w:lang w:val="id-ID" w:eastAsia="id-ID"/>
        </w:rPr>
        <w:t>Dayah merupakan lembaga pendidikan Islam tradisional yang telah lama berperan dalam menjaga khazanah keilmuan Islam di Aceh, khususnya melalui pembelajaran kitab kuning (</w:t>
      </w:r>
      <w:r w:rsidRPr="00394D8A">
        <w:rPr>
          <w:rFonts w:asciiTheme="majorBidi" w:eastAsia="Times New Roman" w:hAnsiTheme="majorBidi" w:cstheme="majorBidi"/>
          <w:i/>
          <w:iCs/>
          <w:szCs w:val="24"/>
          <w:lang w:val="id-ID" w:eastAsia="id-ID"/>
        </w:rPr>
        <w:t>turāṡ</w:t>
      </w:r>
      <w:r w:rsidRPr="00394D8A">
        <w:rPr>
          <w:rFonts w:asciiTheme="majorBidi" w:eastAsia="Times New Roman" w:hAnsiTheme="majorBidi" w:cstheme="majorBidi"/>
          <w:szCs w:val="24"/>
          <w:lang w:val="id-ID" w:eastAsia="id-ID"/>
        </w:rPr>
        <w:t>). Keberadaannya bukan sekadar institusi pendidikan, tetapi juga pusat transmisi nilai, budaya, dan tradisi keilmuan Islam yang berakar kuat dalam masyarakat (Daulay, 2018). Meski demikian, di tengah derasnya arus modernisasi pendidikan, dayah menghadapi tantangan serius terkait mutu manajemen, standar kurikulum, serta pengakuan formal dari negara dan masyarakat luas.</w:t>
      </w:r>
    </w:p>
    <w:p w14:paraId="6B089A3F" w14:textId="77777777" w:rsidR="00A15749" w:rsidRPr="00394D8A" w:rsidRDefault="00A15749" w:rsidP="00A15749">
      <w:pPr>
        <w:spacing w:line="360" w:lineRule="auto"/>
        <w:ind w:firstLine="720"/>
        <w:rPr>
          <w:rFonts w:asciiTheme="majorBidi" w:eastAsia="Times New Roman" w:hAnsiTheme="majorBidi" w:cstheme="majorBidi"/>
          <w:szCs w:val="24"/>
          <w:lang w:val="id-ID" w:eastAsia="id-ID"/>
        </w:rPr>
      </w:pPr>
      <w:r w:rsidRPr="00394D8A">
        <w:rPr>
          <w:rFonts w:asciiTheme="majorBidi" w:eastAsia="Times New Roman" w:hAnsiTheme="majorBidi" w:cstheme="majorBidi"/>
          <w:szCs w:val="24"/>
          <w:lang w:val="id-ID" w:eastAsia="id-ID"/>
        </w:rPr>
        <w:t>Kesenjangan yang muncul adalah tidak adanya standar mutu terukur yang dapat menjamin kualitas pendidikan dayah. Selama bertahun-tahun, pengelolaan dayah berlangsung secara mandiri dengan sistem penilaian internal yang sangat bergantung pada kharisma pimpinan (</w:t>
      </w:r>
      <w:r w:rsidRPr="00394D8A">
        <w:rPr>
          <w:rFonts w:asciiTheme="majorBidi" w:eastAsia="Times New Roman" w:hAnsiTheme="majorBidi" w:cstheme="majorBidi"/>
          <w:i/>
          <w:iCs/>
          <w:szCs w:val="24"/>
          <w:lang w:val="id-ID" w:eastAsia="id-ID"/>
        </w:rPr>
        <w:t>teungku</w:t>
      </w:r>
      <w:r w:rsidRPr="00394D8A">
        <w:rPr>
          <w:rFonts w:asciiTheme="majorBidi" w:eastAsia="Times New Roman" w:hAnsiTheme="majorBidi" w:cstheme="majorBidi"/>
          <w:szCs w:val="24"/>
          <w:lang w:val="id-ID" w:eastAsia="id-ID"/>
        </w:rPr>
        <w:t>). Kondisi ini berbeda dengan lembaga pendidikan formal yang memiliki mekanisme akreditasi dan sistem penjaminan mutu yang baku (Mastuki, 2020). Akibatnya, meskipun memiliki peran historis dan sosial yang kuat, posisi dayah dalam sistem pendidikan nasional sering kali kurang mendapatkan pengakuan setara.</w:t>
      </w:r>
    </w:p>
    <w:p w14:paraId="4412578D" w14:textId="77777777" w:rsidR="00A15749" w:rsidRPr="00394D8A" w:rsidRDefault="00A15749" w:rsidP="00A15749">
      <w:pPr>
        <w:spacing w:line="360" w:lineRule="auto"/>
        <w:ind w:firstLine="720"/>
        <w:rPr>
          <w:rFonts w:asciiTheme="majorBidi" w:eastAsia="Times New Roman" w:hAnsiTheme="majorBidi" w:cstheme="majorBidi"/>
          <w:szCs w:val="24"/>
          <w:lang w:val="id-ID" w:eastAsia="id-ID"/>
        </w:rPr>
      </w:pPr>
      <w:r w:rsidRPr="00394D8A">
        <w:rPr>
          <w:rFonts w:asciiTheme="majorBidi" w:eastAsia="Times New Roman" w:hAnsiTheme="majorBidi" w:cstheme="majorBidi"/>
          <w:szCs w:val="24"/>
          <w:lang w:val="id-ID" w:eastAsia="id-ID"/>
        </w:rPr>
        <w:t>Seiring dengan lahirnya kebijakan otonomi khusus di Aceh, Pemerintah Aceh melalui Badan Akreditasi Dayah Aceh (BADA) berupaya mengisi kesenjangan tersebut dengan membangun instrumen akreditasi. Akreditasi tidak hanya dipandang sebagai instrumen administratif, melainkan juga sebagai upaya untuk membina, menata, dan meningkatkan mutu pembelajaran kitab kuning sebagai inti pendidikan dayah (Ismail, 2021). Hal ini penting karena kitab kuning merupakan fondasi utama transmisi ilmu-ilmu keislaman klasik yang menjadi ruh pendidikan dayah (Azra, 2019).</w:t>
      </w:r>
    </w:p>
    <w:p w14:paraId="0EB58F06" w14:textId="77777777" w:rsidR="00A15749" w:rsidRPr="000A69E2" w:rsidRDefault="00A15749" w:rsidP="00A15749">
      <w:pPr>
        <w:spacing w:line="360" w:lineRule="auto"/>
        <w:ind w:firstLine="720"/>
        <w:rPr>
          <w:rFonts w:asciiTheme="majorBidi" w:eastAsia="Times New Roman" w:hAnsiTheme="majorBidi" w:cstheme="majorBidi"/>
          <w:szCs w:val="24"/>
          <w:lang w:val="id-ID" w:eastAsia="id-ID"/>
        </w:rPr>
      </w:pPr>
      <w:r w:rsidRPr="00394D8A">
        <w:rPr>
          <w:rFonts w:asciiTheme="majorBidi" w:eastAsia="Times New Roman" w:hAnsiTheme="majorBidi" w:cstheme="majorBidi"/>
          <w:szCs w:val="24"/>
          <w:lang w:val="id-ID" w:eastAsia="id-ID"/>
        </w:rPr>
        <w:t>Urgensi penelitian ini terletak pada kebutuhan mendesak untuk memastikan agar tradisi pendidikan kitab kuning tidak sekadar bertahan, tetapi juga berkembang sesuai dengan standar mutu pendidikan yang diakui secara formal. Tanpa adanya mekanisme akreditasi yang kuat, terdapat risiko berkurangnya relevansi dayah di mata masyarakat modern dan menurunnya daya saing lulusan di ruang publik (Hasbullah, 2019). Dengan demikian, analisis mengenai dampak akreditasi BADA terhadap peningkatan kualitas pembelajaran kitab kuning menjadi sangat penting, tidak hanya bagi keberlangsungan dayah, tetapi juga bagi pembangunan pendidikan Islam di Aceh secara lebih luas.</w:t>
      </w:r>
    </w:p>
    <w:p w14:paraId="16125FD7" w14:textId="77777777" w:rsidR="00A15749" w:rsidRPr="00A15749" w:rsidRDefault="00A15749">
      <w:pPr>
        <w:pBdr>
          <w:top w:val="nil"/>
          <w:left w:val="nil"/>
          <w:bottom w:val="nil"/>
          <w:right w:val="nil"/>
          <w:between w:val="nil"/>
        </w:pBdr>
        <w:spacing w:line="360" w:lineRule="auto"/>
        <w:ind w:firstLine="425"/>
        <w:rPr>
          <w:rFonts w:eastAsia="Times New Roman"/>
          <w:color w:val="000000"/>
          <w:sz w:val="22"/>
          <w:szCs w:val="22"/>
          <w:lang w:val="id-ID"/>
        </w:rPr>
      </w:pPr>
    </w:p>
    <w:p w14:paraId="078EC046" w14:textId="77777777" w:rsidR="00A41870" w:rsidRPr="00C327CE" w:rsidRDefault="00B16F2E" w:rsidP="00A15749">
      <w:pPr>
        <w:pBdr>
          <w:top w:val="nil"/>
          <w:left w:val="nil"/>
          <w:bottom w:val="nil"/>
          <w:right w:val="nil"/>
          <w:between w:val="nil"/>
        </w:pBdr>
        <w:spacing w:line="360" w:lineRule="auto"/>
        <w:ind w:firstLine="0"/>
        <w:rPr>
          <w:rFonts w:eastAsia="Times New Roman"/>
          <w:b/>
          <w:color w:val="000000"/>
          <w:lang w:val="sv-SE"/>
        </w:rPr>
      </w:pPr>
      <w:r w:rsidRPr="00C327CE">
        <w:rPr>
          <w:rFonts w:eastAsia="Times New Roman"/>
          <w:b/>
          <w:color w:val="000000"/>
          <w:lang w:val="sv-SE"/>
        </w:rPr>
        <w:lastRenderedPageBreak/>
        <w:t xml:space="preserve">METODE PENELITIAN </w:t>
      </w:r>
    </w:p>
    <w:p w14:paraId="6148A2AB" w14:textId="77777777" w:rsidR="00A15749" w:rsidRPr="00A9296B" w:rsidRDefault="00A15749" w:rsidP="00A15749">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Jenis dan Pendekatan Penelitian</w:t>
      </w:r>
    </w:p>
    <w:p w14:paraId="3A9576F4"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 xml:space="preserve">Penelitian ini menggunakan </w:t>
      </w:r>
      <w:r w:rsidRPr="00A9296B">
        <w:rPr>
          <w:rStyle w:val="Strong"/>
          <w:rFonts w:asciiTheme="majorBidi" w:hAnsiTheme="majorBidi" w:cstheme="majorBidi"/>
          <w:sz w:val="22"/>
          <w:szCs w:val="22"/>
          <w:lang w:val="sv-SE"/>
        </w:rPr>
        <w:t>pendekatan kualitatif dengan jenis deskriptif</w:t>
      </w:r>
      <w:r w:rsidRPr="00A9296B">
        <w:rPr>
          <w:rFonts w:asciiTheme="majorBidi" w:hAnsiTheme="majorBidi" w:cstheme="majorBidi"/>
          <w:b/>
          <w:bCs/>
          <w:sz w:val="22"/>
          <w:szCs w:val="22"/>
          <w:lang w:val="sv-SE"/>
        </w:rPr>
        <w:t>.</w:t>
      </w:r>
      <w:r w:rsidRPr="00A9296B">
        <w:rPr>
          <w:rFonts w:asciiTheme="majorBidi" w:hAnsiTheme="majorBidi" w:cstheme="majorBidi"/>
          <w:sz w:val="22"/>
          <w:szCs w:val="22"/>
          <w:lang w:val="sv-SE"/>
        </w:rPr>
        <w:t xml:space="preserve"> Pendekatan kualitatif dipilih karena fokus penelitian adalah memahami makna, proses, serta dampak akreditasi terhadap peningkatan kualitas pembelajaran kitab kuning di dayah Aceh. Penelitian kualitatif memungkinkan peneliti menggali data secara mendalam melalui interaksi langsung dengan informan sehingga dapat menangkap realitas sosial sebagaimana adanya (Creswell &amp; Poth, 2018). Sifat deskriptif digunakan untuk memberikan gambaran faktual mengenai bagaimana akreditasi Badan Akreditasi Dayah Aceh (BADA) berimplikasi pada pengelolaan kurikulum, profesionalisme guru, serta pengalaman santri dalam pembelajaran kitab kuning.</w:t>
      </w:r>
    </w:p>
    <w:p w14:paraId="130139A6" w14:textId="77777777" w:rsidR="00A15749" w:rsidRPr="00A9296B" w:rsidRDefault="00A15749" w:rsidP="00A9296B">
      <w:pPr>
        <w:pStyle w:val="NormalWeb"/>
        <w:spacing w:before="0" w:beforeAutospacing="0" w:after="0" w:afterAutospacing="0" w:line="360" w:lineRule="auto"/>
        <w:jc w:val="both"/>
        <w:rPr>
          <w:rFonts w:asciiTheme="majorBidi" w:hAnsiTheme="majorBidi" w:cstheme="majorBidi"/>
          <w:sz w:val="22"/>
          <w:szCs w:val="22"/>
          <w:lang w:val="sv-SE"/>
        </w:rPr>
      </w:pPr>
    </w:p>
    <w:p w14:paraId="310D41F7"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Sumber Data</w:t>
      </w:r>
    </w:p>
    <w:p w14:paraId="64A85E18"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rPr>
      </w:pPr>
      <w:r w:rsidRPr="00A9296B">
        <w:rPr>
          <w:rFonts w:asciiTheme="majorBidi" w:hAnsiTheme="majorBidi" w:cstheme="majorBidi"/>
          <w:sz w:val="22"/>
          <w:szCs w:val="22"/>
        </w:rPr>
        <w:t>Data penelitian diperoleh dari dua sumber utama, yaitu:</w:t>
      </w:r>
    </w:p>
    <w:p w14:paraId="2A2EB5DB" w14:textId="77777777" w:rsidR="00A15749" w:rsidRPr="00A9296B" w:rsidRDefault="00A15749" w:rsidP="00A15749">
      <w:pPr>
        <w:pStyle w:val="NormalWeb"/>
        <w:numPr>
          <w:ilvl w:val="0"/>
          <w:numId w:val="3"/>
        </w:numPr>
        <w:spacing w:before="0" w:beforeAutospacing="0" w:after="0" w:afterAutospacing="0" w:line="360" w:lineRule="auto"/>
        <w:jc w:val="both"/>
        <w:rPr>
          <w:rFonts w:asciiTheme="majorBidi" w:hAnsiTheme="majorBidi" w:cstheme="majorBidi"/>
          <w:sz w:val="22"/>
          <w:szCs w:val="22"/>
        </w:rPr>
      </w:pPr>
      <w:r w:rsidRPr="00A9296B">
        <w:rPr>
          <w:rStyle w:val="Strong"/>
          <w:rFonts w:asciiTheme="majorBidi" w:hAnsiTheme="majorBidi" w:cstheme="majorBidi"/>
          <w:sz w:val="22"/>
          <w:szCs w:val="22"/>
        </w:rPr>
        <w:t>Data primer</w:t>
      </w:r>
      <w:r w:rsidRPr="00A9296B">
        <w:rPr>
          <w:rFonts w:asciiTheme="majorBidi" w:hAnsiTheme="majorBidi" w:cstheme="majorBidi"/>
          <w:sz w:val="22"/>
          <w:szCs w:val="22"/>
        </w:rPr>
        <w:t>, berupa hasil wawancara mendalam dengan pihak-pihak yang terlibat langsung dalam proses akreditasi dayah, seperti Majelis Akreditasi Dayah Aceh, pimpinan dayah, guru kitab kuning, dan santri.</w:t>
      </w:r>
    </w:p>
    <w:p w14:paraId="5D03650E" w14:textId="77777777" w:rsidR="00A15749" w:rsidRPr="00A9296B" w:rsidRDefault="00A15749" w:rsidP="00A15749">
      <w:pPr>
        <w:pStyle w:val="NormalWeb"/>
        <w:numPr>
          <w:ilvl w:val="0"/>
          <w:numId w:val="3"/>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sz w:val="22"/>
          <w:szCs w:val="22"/>
          <w:lang w:val="sv-SE"/>
        </w:rPr>
        <w:t>Data sekunder</w:t>
      </w:r>
      <w:r w:rsidRPr="00A9296B">
        <w:rPr>
          <w:rFonts w:asciiTheme="majorBidi" w:hAnsiTheme="majorBidi" w:cstheme="majorBidi"/>
          <w:sz w:val="22"/>
          <w:szCs w:val="22"/>
          <w:lang w:val="sv-SE"/>
        </w:rPr>
        <w:t>, berupa dokumen resmi BADA, peraturan pemerintah terkait kurikulum dayah, laporan hasil akreditasi, serta literatur ilmiah mengenai pendidikan dayah dan pesantren.</w:t>
      </w:r>
    </w:p>
    <w:p w14:paraId="6648A366" w14:textId="77777777" w:rsidR="00A15749" w:rsidRPr="00A9296B" w:rsidRDefault="00A15749" w:rsidP="00A15749">
      <w:pPr>
        <w:pStyle w:val="NormalWeb"/>
        <w:spacing w:before="0" w:beforeAutospacing="0" w:after="0" w:afterAutospacing="0" w:line="360" w:lineRule="auto"/>
        <w:ind w:left="720"/>
        <w:rPr>
          <w:rFonts w:asciiTheme="majorBidi" w:hAnsiTheme="majorBidi" w:cstheme="majorBidi"/>
          <w:sz w:val="22"/>
          <w:szCs w:val="22"/>
          <w:lang w:val="sv-SE"/>
        </w:rPr>
      </w:pPr>
    </w:p>
    <w:p w14:paraId="0BB16DAE"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Informan Penelitian</w:t>
      </w:r>
    </w:p>
    <w:p w14:paraId="30C955B9"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 xml:space="preserve">Informan ditentukan dengan </w:t>
      </w:r>
      <w:r w:rsidRPr="007E7626">
        <w:rPr>
          <w:rStyle w:val="Strong"/>
          <w:rFonts w:asciiTheme="majorBidi" w:hAnsiTheme="majorBidi" w:cstheme="majorBidi"/>
          <w:b w:val="0"/>
          <w:bCs w:val="0"/>
          <w:sz w:val="22"/>
          <w:szCs w:val="22"/>
          <w:lang w:val="sv-SE"/>
        </w:rPr>
        <w:t>teknik purposive sampling</w:t>
      </w:r>
      <w:r w:rsidRPr="00A9296B">
        <w:rPr>
          <w:rFonts w:asciiTheme="majorBidi" w:hAnsiTheme="majorBidi" w:cstheme="majorBidi"/>
          <w:sz w:val="22"/>
          <w:szCs w:val="22"/>
          <w:lang w:val="sv-SE"/>
        </w:rPr>
        <w:t>, yaitu pemilihan informan berdasarkan pertimbangan tertentu sesuai kebutuhan penelitian (Miles, Huberman, &amp; Saldaña, 2018). Kriteria informan meliputi keterlibatan langsung dalam akreditasi, pemahaman tentang pembelajaran kitab kuning, dan pengalaman dalam manajemen dayah.</w:t>
      </w:r>
    </w:p>
    <w:p w14:paraId="36EA65D0" w14:textId="77777777" w:rsidR="00A15749" w:rsidRPr="00A9296B" w:rsidRDefault="00A15749" w:rsidP="00A15749">
      <w:pPr>
        <w:pStyle w:val="NormalWeb"/>
        <w:spacing w:before="0" w:beforeAutospacing="0" w:after="0" w:afterAutospacing="0"/>
        <w:jc w:val="center"/>
        <w:rPr>
          <w:rStyle w:val="Strong"/>
          <w:rFonts w:asciiTheme="majorBidi" w:hAnsiTheme="majorBidi" w:cstheme="majorBidi"/>
          <w:sz w:val="22"/>
          <w:szCs w:val="22"/>
        </w:rPr>
      </w:pPr>
      <w:r w:rsidRPr="00A9296B">
        <w:rPr>
          <w:rStyle w:val="Strong"/>
          <w:rFonts w:asciiTheme="majorBidi" w:hAnsiTheme="majorBidi" w:cstheme="majorBidi"/>
          <w:sz w:val="22"/>
          <w:szCs w:val="22"/>
        </w:rPr>
        <w:t xml:space="preserve">Tabel 1. </w:t>
      </w:r>
    </w:p>
    <w:p w14:paraId="59509A9A" w14:textId="77777777" w:rsidR="00A15749" w:rsidRPr="00A9296B" w:rsidRDefault="00A15749" w:rsidP="00A15749">
      <w:pPr>
        <w:pStyle w:val="NormalWeb"/>
        <w:spacing w:before="0" w:beforeAutospacing="0" w:after="0" w:afterAutospacing="0"/>
        <w:jc w:val="center"/>
        <w:rPr>
          <w:rStyle w:val="Strong"/>
          <w:rFonts w:asciiTheme="majorBidi" w:hAnsiTheme="majorBidi" w:cstheme="majorBidi"/>
          <w:sz w:val="22"/>
          <w:szCs w:val="22"/>
        </w:rPr>
      </w:pPr>
      <w:r w:rsidRPr="00A9296B">
        <w:rPr>
          <w:rStyle w:val="Strong"/>
          <w:rFonts w:asciiTheme="majorBidi" w:hAnsiTheme="majorBidi" w:cstheme="majorBidi"/>
          <w:sz w:val="22"/>
          <w:szCs w:val="22"/>
        </w:rPr>
        <w:t>Informan Penelitian</w:t>
      </w:r>
    </w:p>
    <w:p w14:paraId="0447EF13" w14:textId="77777777" w:rsidR="00A15749" w:rsidRPr="00A9296B" w:rsidRDefault="00A15749" w:rsidP="00A15749">
      <w:pPr>
        <w:pStyle w:val="NormalWeb"/>
        <w:spacing w:before="0" w:beforeAutospacing="0" w:after="0" w:afterAutospacing="0"/>
        <w:rPr>
          <w:rFonts w:asciiTheme="majorBidi" w:hAnsiTheme="majorBidi" w:cstheme="majorBidi"/>
          <w:sz w:val="22"/>
          <w:szCs w:val="22"/>
        </w:rPr>
      </w:pPr>
    </w:p>
    <w:tbl>
      <w:tblPr>
        <w:tblStyle w:val="PlainTable2"/>
        <w:tblW w:w="8907" w:type="dxa"/>
        <w:tblLook w:val="04A0" w:firstRow="1" w:lastRow="0" w:firstColumn="1" w:lastColumn="0" w:noHBand="0" w:noVBand="1"/>
      </w:tblPr>
      <w:tblGrid>
        <w:gridCol w:w="892"/>
        <w:gridCol w:w="3046"/>
        <w:gridCol w:w="1292"/>
        <w:gridCol w:w="3677"/>
      </w:tblGrid>
      <w:tr w:rsidR="00A9296B" w:rsidRPr="00A9296B" w14:paraId="71590EFF" w14:textId="77777777" w:rsidTr="00A9296B">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67" w:type="dxa"/>
            <w:hideMark/>
          </w:tcPr>
          <w:p w14:paraId="56AB594F" w14:textId="77777777" w:rsidR="00A15749" w:rsidRPr="00A9296B" w:rsidRDefault="00A15749" w:rsidP="00A9296B">
            <w:pPr>
              <w:jc w:val="center"/>
              <w:rPr>
                <w:rFonts w:asciiTheme="majorBidi" w:hAnsiTheme="majorBidi" w:cstheme="majorBidi"/>
                <w:sz w:val="22"/>
                <w:szCs w:val="22"/>
              </w:rPr>
            </w:pPr>
            <w:r w:rsidRPr="00A9296B">
              <w:rPr>
                <w:rFonts w:asciiTheme="majorBidi" w:hAnsiTheme="majorBidi" w:cstheme="majorBidi"/>
                <w:sz w:val="22"/>
                <w:szCs w:val="22"/>
              </w:rPr>
              <w:t>No</w:t>
            </w:r>
          </w:p>
        </w:tc>
        <w:tc>
          <w:tcPr>
            <w:tcW w:w="3046" w:type="dxa"/>
            <w:hideMark/>
          </w:tcPr>
          <w:p w14:paraId="068E0864" w14:textId="77777777" w:rsidR="00A15749" w:rsidRPr="00A9296B" w:rsidRDefault="00A15749" w:rsidP="00A9296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Informan</w:t>
            </w:r>
          </w:p>
        </w:tc>
        <w:tc>
          <w:tcPr>
            <w:tcW w:w="1292" w:type="dxa"/>
            <w:hideMark/>
          </w:tcPr>
          <w:p w14:paraId="11E48BE5" w14:textId="77777777" w:rsidR="00A15749" w:rsidRPr="00A9296B" w:rsidRDefault="00A15749" w:rsidP="00A9296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Jumlah</w:t>
            </w:r>
          </w:p>
        </w:tc>
        <w:tc>
          <w:tcPr>
            <w:tcW w:w="0" w:type="auto"/>
            <w:hideMark/>
          </w:tcPr>
          <w:p w14:paraId="07D78013" w14:textId="77777777" w:rsidR="00A15749" w:rsidRPr="00A9296B" w:rsidRDefault="00A15749" w:rsidP="00A9296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Keterangan</w:t>
            </w:r>
          </w:p>
        </w:tc>
      </w:tr>
      <w:tr w:rsidR="00A9296B" w:rsidRPr="00A9296B" w14:paraId="27D0E8F3" w14:textId="77777777" w:rsidTr="00A9296B">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567" w:type="dxa"/>
            <w:tcBorders>
              <w:bottom w:val="nil"/>
            </w:tcBorders>
            <w:hideMark/>
          </w:tcPr>
          <w:p w14:paraId="00A15263" w14:textId="77777777" w:rsidR="00A15749" w:rsidRPr="00A9296B" w:rsidRDefault="00A15749" w:rsidP="00A9296B">
            <w:pPr>
              <w:jc w:val="center"/>
              <w:rPr>
                <w:rFonts w:asciiTheme="majorBidi" w:hAnsiTheme="majorBidi" w:cstheme="majorBidi"/>
                <w:b w:val="0"/>
                <w:bCs w:val="0"/>
                <w:sz w:val="22"/>
                <w:szCs w:val="22"/>
              </w:rPr>
            </w:pPr>
            <w:r w:rsidRPr="00A9296B">
              <w:rPr>
                <w:rFonts w:asciiTheme="majorBidi" w:hAnsiTheme="majorBidi" w:cstheme="majorBidi"/>
                <w:b w:val="0"/>
                <w:bCs w:val="0"/>
                <w:sz w:val="22"/>
                <w:szCs w:val="22"/>
              </w:rPr>
              <w:t>1</w:t>
            </w:r>
          </w:p>
        </w:tc>
        <w:tc>
          <w:tcPr>
            <w:tcW w:w="3046" w:type="dxa"/>
            <w:tcBorders>
              <w:bottom w:val="nil"/>
            </w:tcBorders>
            <w:hideMark/>
          </w:tcPr>
          <w:p w14:paraId="47E25C48" w14:textId="77777777" w:rsidR="00A15749" w:rsidRPr="00A9296B" w:rsidRDefault="00A15749" w:rsidP="00A9296B">
            <w:pPr>
              <w:ind w:firstLine="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Dinas Pendidikan Dayah Aceh</w:t>
            </w:r>
          </w:p>
        </w:tc>
        <w:tc>
          <w:tcPr>
            <w:tcW w:w="1292" w:type="dxa"/>
            <w:tcBorders>
              <w:bottom w:val="nil"/>
            </w:tcBorders>
            <w:hideMark/>
          </w:tcPr>
          <w:p w14:paraId="51FB1876"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2 orang</w:t>
            </w:r>
          </w:p>
        </w:tc>
        <w:tc>
          <w:tcPr>
            <w:tcW w:w="0" w:type="auto"/>
            <w:tcBorders>
              <w:bottom w:val="nil"/>
            </w:tcBorders>
            <w:hideMark/>
          </w:tcPr>
          <w:p w14:paraId="28E65829" w14:textId="77777777" w:rsidR="00A15749" w:rsidRPr="00A9296B" w:rsidRDefault="00A15749" w:rsidP="00A9296B">
            <w:pPr>
              <w:ind w:firstLine="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lang w:val="sv-SE"/>
              </w:rPr>
            </w:pPr>
            <w:r w:rsidRPr="00A9296B">
              <w:rPr>
                <w:rFonts w:asciiTheme="majorBidi" w:hAnsiTheme="majorBidi" w:cstheme="majorBidi"/>
                <w:sz w:val="22"/>
                <w:szCs w:val="22"/>
                <w:lang w:val="sv-SE"/>
              </w:rPr>
              <w:t>Pemerintah Aceh/SKPA yang mebidangi</w:t>
            </w:r>
          </w:p>
        </w:tc>
      </w:tr>
      <w:tr w:rsidR="00A9296B" w:rsidRPr="00A9296B" w14:paraId="154A5A45" w14:textId="77777777" w:rsidTr="00A9296B">
        <w:trPr>
          <w:trHeight w:val="468"/>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148573C5" w14:textId="77777777" w:rsidR="00A15749" w:rsidRPr="00A9296B" w:rsidRDefault="00A15749" w:rsidP="00A9296B">
            <w:pPr>
              <w:jc w:val="center"/>
              <w:rPr>
                <w:rFonts w:asciiTheme="majorBidi" w:hAnsiTheme="majorBidi" w:cstheme="majorBidi"/>
                <w:b w:val="0"/>
                <w:bCs w:val="0"/>
                <w:sz w:val="22"/>
                <w:szCs w:val="22"/>
                <w:lang w:val="sv-SE"/>
              </w:rPr>
            </w:pPr>
          </w:p>
        </w:tc>
        <w:tc>
          <w:tcPr>
            <w:tcW w:w="3046" w:type="dxa"/>
            <w:tcBorders>
              <w:top w:val="nil"/>
              <w:bottom w:val="nil"/>
            </w:tcBorders>
          </w:tcPr>
          <w:p w14:paraId="5EB6F69A" w14:textId="77777777" w:rsidR="00A15749" w:rsidRPr="00A9296B" w:rsidRDefault="00A15749" w:rsidP="00A9296B">
            <w:pPr>
              <w:ind w:firstLine="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Majelis Akreditasi Dayah Aceh</w:t>
            </w:r>
          </w:p>
        </w:tc>
        <w:tc>
          <w:tcPr>
            <w:tcW w:w="1292" w:type="dxa"/>
            <w:tcBorders>
              <w:top w:val="nil"/>
              <w:bottom w:val="nil"/>
            </w:tcBorders>
          </w:tcPr>
          <w:p w14:paraId="2C1F47F7"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5 orang</w:t>
            </w:r>
          </w:p>
        </w:tc>
        <w:tc>
          <w:tcPr>
            <w:tcW w:w="0" w:type="auto"/>
            <w:tcBorders>
              <w:top w:val="nil"/>
              <w:bottom w:val="nil"/>
            </w:tcBorders>
          </w:tcPr>
          <w:p w14:paraId="47189649" w14:textId="77777777" w:rsidR="00A15749" w:rsidRPr="00A9296B" w:rsidRDefault="00A15749" w:rsidP="00A9296B">
            <w:pPr>
              <w:ind w:firstLine="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Anggota yang terlibat dalam proses akreditasi</w:t>
            </w:r>
          </w:p>
        </w:tc>
      </w:tr>
      <w:tr w:rsidR="00A9296B" w:rsidRPr="00A9296B" w14:paraId="4244F8D1" w14:textId="77777777" w:rsidTr="00A9296B">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hideMark/>
          </w:tcPr>
          <w:p w14:paraId="6075C42F" w14:textId="77777777" w:rsidR="00A15749" w:rsidRPr="00A9296B" w:rsidRDefault="00A15749" w:rsidP="00A9296B">
            <w:pPr>
              <w:jc w:val="center"/>
              <w:rPr>
                <w:rFonts w:asciiTheme="majorBidi" w:hAnsiTheme="majorBidi" w:cstheme="majorBidi"/>
                <w:b w:val="0"/>
                <w:bCs w:val="0"/>
                <w:sz w:val="22"/>
                <w:szCs w:val="22"/>
              </w:rPr>
            </w:pPr>
            <w:r w:rsidRPr="00A9296B">
              <w:rPr>
                <w:rFonts w:asciiTheme="majorBidi" w:hAnsiTheme="majorBidi" w:cstheme="majorBidi"/>
                <w:b w:val="0"/>
                <w:bCs w:val="0"/>
                <w:sz w:val="22"/>
                <w:szCs w:val="22"/>
              </w:rPr>
              <w:t>2</w:t>
            </w:r>
          </w:p>
        </w:tc>
        <w:tc>
          <w:tcPr>
            <w:tcW w:w="3046" w:type="dxa"/>
            <w:tcBorders>
              <w:top w:val="nil"/>
              <w:bottom w:val="nil"/>
            </w:tcBorders>
            <w:hideMark/>
          </w:tcPr>
          <w:p w14:paraId="20F424FB" w14:textId="77777777" w:rsidR="00A15749" w:rsidRPr="00A9296B" w:rsidRDefault="00A15749" w:rsidP="00A9296B">
            <w:pPr>
              <w:ind w:firstLine="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Pimpinan Dayah/Ulama Dayah</w:t>
            </w:r>
          </w:p>
        </w:tc>
        <w:tc>
          <w:tcPr>
            <w:tcW w:w="1292" w:type="dxa"/>
            <w:tcBorders>
              <w:top w:val="nil"/>
              <w:bottom w:val="nil"/>
            </w:tcBorders>
            <w:hideMark/>
          </w:tcPr>
          <w:p w14:paraId="513B65DC"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8 orang</w:t>
            </w:r>
          </w:p>
        </w:tc>
        <w:tc>
          <w:tcPr>
            <w:tcW w:w="0" w:type="auto"/>
            <w:tcBorders>
              <w:top w:val="nil"/>
              <w:bottom w:val="nil"/>
            </w:tcBorders>
            <w:hideMark/>
          </w:tcPr>
          <w:p w14:paraId="6EBF76FF" w14:textId="77777777" w:rsidR="00A15749" w:rsidRPr="00A9296B" w:rsidRDefault="00A15749" w:rsidP="00A9296B">
            <w:pPr>
              <w:ind w:firstLine="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lang w:val="sv-SE"/>
              </w:rPr>
            </w:pPr>
            <w:r w:rsidRPr="00A9296B">
              <w:rPr>
                <w:rFonts w:asciiTheme="majorBidi" w:hAnsiTheme="majorBidi" w:cstheme="majorBidi"/>
                <w:sz w:val="22"/>
                <w:szCs w:val="22"/>
                <w:lang w:val="sv-SE"/>
              </w:rPr>
              <w:t>Pimpinan dayah yang telah terakreditasi</w:t>
            </w:r>
          </w:p>
        </w:tc>
      </w:tr>
      <w:tr w:rsidR="00A9296B" w:rsidRPr="00A9296B" w14:paraId="74FB537C" w14:textId="77777777" w:rsidTr="00A9296B">
        <w:trPr>
          <w:trHeight w:val="468"/>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hideMark/>
          </w:tcPr>
          <w:p w14:paraId="6B0A3E38" w14:textId="77777777" w:rsidR="00A15749" w:rsidRPr="00A9296B" w:rsidRDefault="00A15749" w:rsidP="00A9296B">
            <w:pPr>
              <w:jc w:val="center"/>
              <w:rPr>
                <w:rFonts w:asciiTheme="majorBidi" w:hAnsiTheme="majorBidi" w:cstheme="majorBidi"/>
                <w:b w:val="0"/>
                <w:bCs w:val="0"/>
                <w:sz w:val="22"/>
                <w:szCs w:val="22"/>
              </w:rPr>
            </w:pPr>
            <w:r w:rsidRPr="00A9296B">
              <w:rPr>
                <w:rFonts w:asciiTheme="majorBidi" w:hAnsiTheme="majorBidi" w:cstheme="majorBidi"/>
                <w:b w:val="0"/>
                <w:bCs w:val="0"/>
                <w:sz w:val="22"/>
                <w:szCs w:val="22"/>
              </w:rPr>
              <w:t>3</w:t>
            </w:r>
          </w:p>
        </w:tc>
        <w:tc>
          <w:tcPr>
            <w:tcW w:w="3046" w:type="dxa"/>
            <w:tcBorders>
              <w:top w:val="nil"/>
              <w:bottom w:val="nil"/>
            </w:tcBorders>
            <w:hideMark/>
          </w:tcPr>
          <w:p w14:paraId="0301D173" w14:textId="77777777" w:rsidR="00A15749" w:rsidRPr="00A9296B" w:rsidRDefault="00A15749" w:rsidP="00A9296B">
            <w:pPr>
              <w:ind w:firstLine="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Guru Kitab Kuning (Turats)</w:t>
            </w:r>
          </w:p>
        </w:tc>
        <w:tc>
          <w:tcPr>
            <w:tcW w:w="1292" w:type="dxa"/>
            <w:tcBorders>
              <w:top w:val="nil"/>
              <w:bottom w:val="nil"/>
            </w:tcBorders>
            <w:hideMark/>
          </w:tcPr>
          <w:p w14:paraId="77CCD9DA"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6 orang</w:t>
            </w:r>
          </w:p>
        </w:tc>
        <w:tc>
          <w:tcPr>
            <w:tcW w:w="0" w:type="auto"/>
            <w:tcBorders>
              <w:top w:val="nil"/>
              <w:bottom w:val="nil"/>
            </w:tcBorders>
            <w:hideMark/>
          </w:tcPr>
          <w:p w14:paraId="08CE7F6E" w14:textId="77777777" w:rsidR="00A15749" w:rsidRPr="00A9296B" w:rsidRDefault="00A15749" w:rsidP="00A9296B">
            <w:pPr>
              <w:ind w:firstLine="0"/>
              <w:jc w:val="lef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Guru senior pengampu kitab kuning (Turats)</w:t>
            </w:r>
          </w:p>
        </w:tc>
      </w:tr>
      <w:tr w:rsidR="00A9296B" w:rsidRPr="00A9296B" w14:paraId="284EEF20" w14:textId="77777777" w:rsidTr="00A9296B">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67" w:type="dxa"/>
            <w:tcBorders>
              <w:top w:val="nil"/>
            </w:tcBorders>
            <w:hideMark/>
          </w:tcPr>
          <w:p w14:paraId="68BEA28C" w14:textId="77777777" w:rsidR="00A15749" w:rsidRPr="00A9296B" w:rsidRDefault="00A15749" w:rsidP="00A9296B">
            <w:pPr>
              <w:jc w:val="center"/>
              <w:rPr>
                <w:rFonts w:asciiTheme="majorBidi" w:hAnsiTheme="majorBidi" w:cstheme="majorBidi"/>
                <w:b w:val="0"/>
                <w:bCs w:val="0"/>
                <w:sz w:val="22"/>
                <w:szCs w:val="22"/>
              </w:rPr>
            </w:pPr>
            <w:r w:rsidRPr="00A9296B">
              <w:rPr>
                <w:rFonts w:asciiTheme="majorBidi" w:hAnsiTheme="majorBidi" w:cstheme="majorBidi"/>
                <w:b w:val="0"/>
                <w:bCs w:val="0"/>
                <w:sz w:val="22"/>
                <w:szCs w:val="22"/>
              </w:rPr>
              <w:t>4</w:t>
            </w:r>
          </w:p>
        </w:tc>
        <w:tc>
          <w:tcPr>
            <w:tcW w:w="3046" w:type="dxa"/>
            <w:tcBorders>
              <w:top w:val="nil"/>
            </w:tcBorders>
            <w:hideMark/>
          </w:tcPr>
          <w:p w14:paraId="746EC147" w14:textId="77777777" w:rsidR="00A15749" w:rsidRPr="00A9296B" w:rsidRDefault="00A15749" w:rsidP="00A9296B">
            <w:pPr>
              <w:ind w:firstLine="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Santri</w:t>
            </w:r>
          </w:p>
        </w:tc>
        <w:tc>
          <w:tcPr>
            <w:tcW w:w="1292" w:type="dxa"/>
            <w:tcBorders>
              <w:top w:val="nil"/>
            </w:tcBorders>
            <w:hideMark/>
          </w:tcPr>
          <w:p w14:paraId="57F9BAA0"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rPr>
            </w:pPr>
            <w:r w:rsidRPr="00A9296B">
              <w:rPr>
                <w:rFonts w:asciiTheme="majorBidi" w:hAnsiTheme="majorBidi" w:cstheme="majorBidi"/>
                <w:sz w:val="22"/>
                <w:szCs w:val="22"/>
              </w:rPr>
              <w:t>9 orang</w:t>
            </w:r>
          </w:p>
        </w:tc>
        <w:tc>
          <w:tcPr>
            <w:tcW w:w="0" w:type="auto"/>
            <w:tcBorders>
              <w:top w:val="nil"/>
            </w:tcBorders>
            <w:hideMark/>
          </w:tcPr>
          <w:p w14:paraId="22797374" w14:textId="77777777" w:rsidR="00A15749" w:rsidRPr="00A9296B" w:rsidRDefault="00A15749" w:rsidP="00A9296B">
            <w:pPr>
              <w:ind w:firstLine="0"/>
              <w:jc w:val="lef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szCs w:val="22"/>
                <w:lang w:val="sv-SE"/>
              </w:rPr>
            </w:pPr>
            <w:r w:rsidRPr="00A9296B">
              <w:rPr>
                <w:rFonts w:asciiTheme="majorBidi" w:hAnsiTheme="majorBidi" w:cstheme="majorBidi"/>
                <w:sz w:val="22"/>
                <w:szCs w:val="22"/>
                <w:lang w:val="sv-SE"/>
              </w:rPr>
              <w:t>Santri aktif di dayah terakreditasi</w:t>
            </w:r>
          </w:p>
        </w:tc>
      </w:tr>
      <w:tr w:rsidR="00A9296B" w:rsidRPr="00A9296B" w14:paraId="0470C92C" w14:textId="77777777" w:rsidTr="00A9296B">
        <w:trPr>
          <w:trHeight w:val="369"/>
        </w:trPr>
        <w:tc>
          <w:tcPr>
            <w:cnfStyle w:val="001000000000" w:firstRow="0" w:lastRow="0" w:firstColumn="1" w:lastColumn="0" w:oddVBand="0" w:evenVBand="0" w:oddHBand="0" w:evenHBand="0" w:firstRowFirstColumn="0" w:firstRowLastColumn="0" w:lastRowFirstColumn="0" w:lastRowLastColumn="0"/>
            <w:tcW w:w="567" w:type="dxa"/>
            <w:hideMark/>
          </w:tcPr>
          <w:p w14:paraId="77386B20" w14:textId="77777777" w:rsidR="00A15749" w:rsidRPr="00A9296B" w:rsidRDefault="00A15749" w:rsidP="00A9296B">
            <w:pPr>
              <w:rPr>
                <w:rFonts w:asciiTheme="majorBidi" w:hAnsiTheme="majorBidi" w:cstheme="majorBidi"/>
                <w:sz w:val="22"/>
                <w:szCs w:val="22"/>
              </w:rPr>
            </w:pPr>
            <w:r w:rsidRPr="00A9296B">
              <w:rPr>
                <w:rStyle w:val="Strong"/>
                <w:rFonts w:asciiTheme="majorBidi" w:hAnsiTheme="majorBidi" w:cstheme="majorBidi"/>
                <w:sz w:val="22"/>
                <w:szCs w:val="22"/>
              </w:rPr>
              <w:t>Total</w:t>
            </w:r>
          </w:p>
        </w:tc>
        <w:tc>
          <w:tcPr>
            <w:tcW w:w="3046" w:type="dxa"/>
            <w:hideMark/>
          </w:tcPr>
          <w:p w14:paraId="4A7295EC"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
        </w:tc>
        <w:tc>
          <w:tcPr>
            <w:tcW w:w="1292" w:type="dxa"/>
            <w:hideMark/>
          </w:tcPr>
          <w:p w14:paraId="28EE5CC5"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r w:rsidRPr="00A9296B">
              <w:rPr>
                <w:rStyle w:val="Strong"/>
                <w:rFonts w:asciiTheme="majorBidi" w:hAnsiTheme="majorBidi" w:cstheme="majorBidi"/>
                <w:sz w:val="22"/>
                <w:szCs w:val="22"/>
              </w:rPr>
              <w:t>30 orang</w:t>
            </w:r>
          </w:p>
        </w:tc>
        <w:tc>
          <w:tcPr>
            <w:tcW w:w="0" w:type="auto"/>
            <w:hideMark/>
          </w:tcPr>
          <w:p w14:paraId="5B69C9D5"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rPr>
            </w:pPr>
          </w:p>
        </w:tc>
      </w:tr>
    </w:tbl>
    <w:p w14:paraId="75E259D3" w14:textId="77777777" w:rsidR="00A15749" w:rsidRPr="00A9296B" w:rsidRDefault="00A15749" w:rsidP="00A15749">
      <w:pPr>
        <w:pStyle w:val="Heading4"/>
        <w:spacing w:before="0"/>
        <w:rPr>
          <w:rFonts w:asciiTheme="majorBidi" w:hAnsiTheme="majorBidi"/>
          <w:bCs/>
          <w:color w:val="auto"/>
          <w:sz w:val="22"/>
          <w:szCs w:val="22"/>
        </w:rPr>
      </w:pPr>
      <w:r w:rsidRPr="00A9296B">
        <w:rPr>
          <w:rFonts w:asciiTheme="majorBidi" w:hAnsiTheme="majorBidi"/>
          <w:bCs/>
          <w:color w:val="auto"/>
          <w:sz w:val="22"/>
          <w:szCs w:val="22"/>
        </w:rPr>
        <w:t xml:space="preserve">Sumber: Data Penelitian 2025 </w:t>
      </w:r>
    </w:p>
    <w:p w14:paraId="079CE061" w14:textId="77777777" w:rsidR="00A15749" w:rsidRPr="00A9296B" w:rsidRDefault="00A15749" w:rsidP="00A15749">
      <w:pPr>
        <w:rPr>
          <w:sz w:val="22"/>
          <w:szCs w:val="22"/>
        </w:rPr>
      </w:pPr>
    </w:p>
    <w:p w14:paraId="28588BEF"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lastRenderedPageBreak/>
        <w:t>Teknik Pengumpulan Data</w:t>
      </w:r>
    </w:p>
    <w:p w14:paraId="67FD071F"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Adapun teknik pengumpulan data dilakukan dengan beberapa cara, yaitu:</w:t>
      </w:r>
    </w:p>
    <w:p w14:paraId="71070C0C" w14:textId="77777777" w:rsidR="00A15749" w:rsidRPr="00A9296B" w:rsidRDefault="00A15749" w:rsidP="00A15749">
      <w:pPr>
        <w:pStyle w:val="NormalWeb"/>
        <w:numPr>
          <w:ilvl w:val="0"/>
          <w:numId w:val="4"/>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Wawancara mendalam (</w:t>
      </w:r>
      <w:r w:rsidRPr="00A9296B">
        <w:rPr>
          <w:rStyle w:val="Strong"/>
          <w:rFonts w:asciiTheme="majorBidi" w:hAnsiTheme="majorBidi" w:cstheme="majorBidi"/>
          <w:b w:val="0"/>
          <w:bCs w:val="0"/>
          <w:i/>
          <w:iCs/>
          <w:sz w:val="22"/>
          <w:szCs w:val="22"/>
          <w:lang w:val="sv-SE"/>
        </w:rPr>
        <w:t>in-depth interview</w:t>
      </w:r>
      <w:r w:rsidRPr="00A9296B">
        <w:rPr>
          <w:rStyle w:val="Strong"/>
          <w:rFonts w:asciiTheme="majorBidi" w:hAnsiTheme="majorBidi" w:cstheme="majorBidi"/>
          <w:b w:val="0"/>
          <w:bCs w:val="0"/>
          <w:sz w:val="22"/>
          <w:szCs w:val="22"/>
          <w:lang w:val="sv-SE"/>
        </w:rPr>
        <w:t>)</w:t>
      </w:r>
      <w:r w:rsidRPr="00A9296B">
        <w:rPr>
          <w:rFonts w:asciiTheme="majorBidi" w:hAnsiTheme="majorBidi" w:cstheme="majorBidi"/>
          <w:sz w:val="22"/>
          <w:szCs w:val="22"/>
          <w:lang w:val="sv-SE"/>
        </w:rPr>
        <w:t xml:space="preserve"> untuk menggali pemahaman, pengalaman, dan pandangan informan terkait pelaksanaan akreditasi serta dampaknya terhadap pembelajaran kitab kuning.</w:t>
      </w:r>
    </w:p>
    <w:p w14:paraId="366615C1" w14:textId="77777777" w:rsidR="00A15749" w:rsidRPr="00A9296B" w:rsidRDefault="00A15749" w:rsidP="00A15749">
      <w:pPr>
        <w:pStyle w:val="NormalWeb"/>
        <w:numPr>
          <w:ilvl w:val="0"/>
          <w:numId w:val="4"/>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Observasi partisipatif</w:t>
      </w:r>
      <w:r w:rsidRPr="00A9296B">
        <w:rPr>
          <w:rFonts w:asciiTheme="majorBidi" w:hAnsiTheme="majorBidi" w:cstheme="majorBidi"/>
          <w:sz w:val="22"/>
          <w:szCs w:val="22"/>
          <w:lang w:val="sv-SE"/>
        </w:rPr>
        <w:t xml:space="preserve"> untuk mengamati secara langsung proses pembelajaran kitab kuning, manajemen dayah, serta interaksi antara guru dan santri.</w:t>
      </w:r>
    </w:p>
    <w:p w14:paraId="055D6E73" w14:textId="77777777" w:rsidR="00A15749" w:rsidRPr="00A9296B" w:rsidRDefault="00A15749" w:rsidP="00A15749">
      <w:pPr>
        <w:pStyle w:val="NormalWeb"/>
        <w:numPr>
          <w:ilvl w:val="0"/>
          <w:numId w:val="4"/>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Studi dokumentasi</w:t>
      </w:r>
      <w:r w:rsidRPr="00A9296B">
        <w:rPr>
          <w:rFonts w:asciiTheme="majorBidi" w:hAnsiTheme="majorBidi" w:cstheme="majorBidi"/>
          <w:sz w:val="22"/>
          <w:szCs w:val="22"/>
          <w:lang w:val="sv-SE"/>
        </w:rPr>
        <w:t xml:space="preserve"> terhadap regulasi resmi, borang akreditasi, kurikulum dayah, serta laporan hasil akreditasi.</w:t>
      </w:r>
    </w:p>
    <w:p w14:paraId="6C62E361"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Teknik triangulasi sumber dilakukan untuk memperkuat validitas data, yakni dengan membandingkan hasil wawancara, observasi, dan dokumentasi.</w:t>
      </w:r>
    </w:p>
    <w:p w14:paraId="28B9E385" w14:textId="77777777" w:rsidR="00A15749" w:rsidRPr="00A9296B" w:rsidRDefault="00A15749" w:rsidP="00A15749">
      <w:pPr>
        <w:pStyle w:val="NormalWeb"/>
        <w:spacing w:before="0" w:beforeAutospacing="0" w:after="0" w:afterAutospacing="0" w:line="360" w:lineRule="auto"/>
        <w:jc w:val="both"/>
        <w:rPr>
          <w:rFonts w:asciiTheme="majorBidi" w:hAnsiTheme="majorBidi" w:cstheme="majorBidi"/>
          <w:sz w:val="22"/>
          <w:szCs w:val="22"/>
          <w:lang w:val="sv-SE"/>
        </w:rPr>
      </w:pPr>
    </w:p>
    <w:p w14:paraId="7E5A32B7"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Teknik Analisis Data</w:t>
      </w:r>
    </w:p>
    <w:p w14:paraId="655888AB"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 xml:space="preserve">Analisis data menggunakan model </w:t>
      </w:r>
      <w:r w:rsidRPr="00A9296B">
        <w:rPr>
          <w:rStyle w:val="Strong"/>
          <w:rFonts w:asciiTheme="majorBidi" w:hAnsiTheme="majorBidi" w:cstheme="majorBidi"/>
          <w:b w:val="0"/>
          <w:bCs w:val="0"/>
          <w:sz w:val="22"/>
          <w:szCs w:val="22"/>
          <w:lang w:val="sv-SE"/>
        </w:rPr>
        <w:t>Miles dan Huberman</w:t>
      </w:r>
      <w:r w:rsidRPr="00A9296B">
        <w:rPr>
          <w:rFonts w:asciiTheme="majorBidi" w:hAnsiTheme="majorBidi" w:cstheme="majorBidi"/>
          <w:sz w:val="22"/>
          <w:szCs w:val="22"/>
          <w:lang w:val="sv-SE"/>
        </w:rPr>
        <w:t xml:space="preserve"> yang terdiri atas tiga tahap utama, yaitu:</w:t>
      </w:r>
    </w:p>
    <w:p w14:paraId="1080016F" w14:textId="77777777" w:rsidR="00A15749" w:rsidRPr="00A9296B" w:rsidRDefault="00A15749" w:rsidP="00A15749">
      <w:pPr>
        <w:pStyle w:val="NormalWeb"/>
        <w:numPr>
          <w:ilvl w:val="0"/>
          <w:numId w:val="5"/>
        </w:numPr>
        <w:spacing w:before="0" w:beforeAutospacing="0" w:after="0" w:afterAutospacing="0" w:line="360" w:lineRule="auto"/>
        <w:jc w:val="both"/>
        <w:rPr>
          <w:rFonts w:asciiTheme="majorBidi" w:hAnsiTheme="majorBidi" w:cstheme="majorBidi"/>
          <w:sz w:val="22"/>
          <w:szCs w:val="22"/>
        </w:rPr>
      </w:pPr>
      <w:r w:rsidRPr="00A9296B">
        <w:rPr>
          <w:rStyle w:val="Strong"/>
          <w:rFonts w:asciiTheme="majorBidi" w:hAnsiTheme="majorBidi" w:cstheme="majorBidi"/>
          <w:b w:val="0"/>
          <w:bCs w:val="0"/>
          <w:sz w:val="22"/>
          <w:szCs w:val="22"/>
        </w:rPr>
        <w:t>Reduksi data</w:t>
      </w:r>
      <w:r w:rsidRPr="00A9296B">
        <w:rPr>
          <w:rFonts w:asciiTheme="majorBidi" w:hAnsiTheme="majorBidi" w:cstheme="majorBidi"/>
          <w:sz w:val="22"/>
          <w:szCs w:val="22"/>
        </w:rPr>
        <w:t>, yaitu proses pemilihan, penyederhanaan, dan pemusatan perhatian pada data penting yang relevan dengan fokus penelitian.</w:t>
      </w:r>
    </w:p>
    <w:p w14:paraId="19C3B5BA" w14:textId="77777777" w:rsidR="00A15749" w:rsidRPr="00A9296B" w:rsidRDefault="00A15749" w:rsidP="00A15749">
      <w:pPr>
        <w:pStyle w:val="NormalWeb"/>
        <w:numPr>
          <w:ilvl w:val="0"/>
          <w:numId w:val="5"/>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Penyajian data</w:t>
      </w:r>
      <w:r w:rsidRPr="00A9296B">
        <w:rPr>
          <w:rFonts w:asciiTheme="majorBidi" w:hAnsiTheme="majorBidi" w:cstheme="majorBidi"/>
          <w:sz w:val="22"/>
          <w:szCs w:val="22"/>
          <w:lang w:val="sv-SE"/>
        </w:rPr>
        <w:t>, berupa penyusunan data dalam bentuk narasi, tabel, dan matriks untuk memudahkan penarikan makna.</w:t>
      </w:r>
    </w:p>
    <w:p w14:paraId="041F4F1B" w14:textId="77777777" w:rsidR="00A15749" w:rsidRPr="00A9296B" w:rsidRDefault="00A15749" w:rsidP="00A15749">
      <w:pPr>
        <w:pStyle w:val="NormalWeb"/>
        <w:numPr>
          <w:ilvl w:val="0"/>
          <w:numId w:val="5"/>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Penarikan kesimpulan dan verifikasi</w:t>
      </w:r>
      <w:r w:rsidRPr="00A9296B">
        <w:rPr>
          <w:rFonts w:asciiTheme="majorBidi" w:hAnsiTheme="majorBidi" w:cstheme="majorBidi"/>
          <w:sz w:val="22"/>
          <w:szCs w:val="22"/>
          <w:lang w:val="sv-SE"/>
        </w:rPr>
        <w:t>, yaitu memberikan interpretasi atas data yang diperoleh, kemudian memverifikasi dengan cara membandingkan kembali dengan sumber data lainnya (Miles et al., 2018).</w:t>
      </w:r>
    </w:p>
    <w:p w14:paraId="36BBB8CB" w14:textId="77777777" w:rsidR="00A9296B" w:rsidRDefault="00A15749" w:rsidP="00A9296B">
      <w:pPr>
        <w:pStyle w:val="NormalWeb"/>
        <w:spacing w:before="0" w:beforeAutospacing="0" w:after="0" w:afterAutospacing="0" w:line="360" w:lineRule="auto"/>
        <w:jc w:val="both"/>
        <w:rPr>
          <w:rFonts w:asciiTheme="majorBidi" w:hAnsiTheme="majorBidi" w:cstheme="majorBidi"/>
          <w:sz w:val="22"/>
          <w:szCs w:val="22"/>
          <w:lang w:val="sv-SE"/>
        </w:rPr>
      </w:pPr>
      <w:r w:rsidRPr="00A9296B">
        <w:rPr>
          <w:rFonts w:asciiTheme="majorBidi" w:hAnsiTheme="majorBidi" w:cstheme="majorBidi"/>
          <w:sz w:val="22"/>
          <w:szCs w:val="22"/>
          <w:lang w:val="sv-SE"/>
        </w:rPr>
        <w:t>Dengan teknik ini, hasil penelitian diharapkan dapat memberikan gambaran yang utuh mengenai dampak akreditasi terhadap kualitas pembelajaran kitab kuning di dayah Aceh.</w:t>
      </w:r>
      <w:r w:rsidR="00A9296B">
        <w:rPr>
          <w:rFonts w:asciiTheme="majorBidi" w:hAnsiTheme="majorBidi" w:cstheme="majorBidi"/>
          <w:sz w:val="22"/>
          <w:szCs w:val="22"/>
          <w:lang w:val="sv-SE"/>
        </w:rPr>
        <w:t xml:space="preserve"> </w:t>
      </w:r>
    </w:p>
    <w:p w14:paraId="0A72F9AD" w14:textId="4090B7C6" w:rsidR="00A41870" w:rsidRPr="00A9296B" w:rsidRDefault="00A41870" w:rsidP="00A9296B">
      <w:pPr>
        <w:pStyle w:val="NormalWeb"/>
        <w:spacing w:before="0" w:beforeAutospacing="0" w:after="0" w:afterAutospacing="0" w:line="360" w:lineRule="auto"/>
        <w:jc w:val="both"/>
        <w:rPr>
          <w:rFonts w:asciiTheme="majorBidi" w:hAnsiTheme="majorBidi" w:cstheme="majorBidi"/>
          <w:sz w:val="22"/>
          <w:szCs w:val="22"/>
          <w:lang w:val="sv-SE"/>
        </w:rPr>
      </w:pPr>
    </w:p>
    <w:p w14:paraId="77E116D2" w14:textId="6DD5A22D" w:rsidR="00A41870" w:rsidRDefault="00B16F2E" w:rsidP="006D2852">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H</w:t>
      </w:r>
      <w:r>
        <w:rPr>
          <w:rFonts w:eastAsia="Times New Roman"/>
          <w:b/>
          <w:color w:val="000000"/>
        </w:rPr>
        <w:t>ASIL DAN PEMBAHASAN</w:t>
      </w:r>
    </w:p>
    <w:p w14:paraId="2FC76E5A"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Akreditasi dan Penataan Kurikulum Kitab Kuning</w:t>
      </w:r>
    </w:p>
    <w:p w14:paraId="10E1402D" w14:textId="77777777" w:rsidR="006D2852" w:rsidRPr="0052045B" w:rsidRDefault="006D2852" w:rsidP="006D2852">
      <w:pPr>
        <w:pStyle w:val="NormalWeb"/>
        <w:spacing w:before="0" w:beforeAutospacing="0" w:after="0" w:afterAutospacing="0" w:line="360" w:lineRule="auto"/>
        <w:ind w:left="360"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Berdasarkan termuan hasil penelitian di lapngan menunjukkan bahwa akreditasi mendorong dayah untuk menyusun kurikulum dan silabus kitab kuning yang lebih terarah. Hal ini sejalan dengan pandangan Tilaar (2012) yang menyebutkan bahwa kurikulum merupakan instrumen penting dalam menjamin mutu pendidikan karena mengatur arah, isi, serta sistem pembelajaran secara lebih sistematis. Akreditasi berfungsi sebagai mekanisme untuk menstandardisasi kurikulum tanpa harus menghilangkan identitas khas dayah.</w:t>
      </w:r>
    </w:p>
    <w:p w14:paraId="2C67AAC8" w14:textId="51FBDD19" w:rsidR="006D2852" w:rsidRDefault="006D2852" w:rsidP="006D2852">
      <w:pPr>
        <w:pStyle w:val="NormalWeb"/>
        <w:spacing w:before="0" w:beforeAutospacing="0" w:after="0" w:afterAutospacing="0" w:line="360" w:lineRule="auto"/>
        <w:ind w:left="360"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Penelitian Mastuki (2020) juga menegaskan bahwa standar mutu di pesantren dan dayah diperlukan untuk memberikan kejelasan arah pendidikan, terutama dalam menghadapi tuntutan </w:t>
      </w:r>
      <w:r w:rsidRPr="0052045B">
        <w:rPr>
          <w:rFonts w:asciiTheme="majorBidi" w:hAnsiTheme="majorBidi" w:cstheme="majorBidi"/>
          <w:sz w:val="22"/>
          <w:szCs w:val="22"/>
          <w:lang w:val="sv-SE"/>
        </w:rPr>
        <w:lastRenderedPageBreak/>
        <w:t>modernisasi. Dengan demikian, penataan kurikulum kitab kuning akibat akreditasi menjadi bukti bahwa tradisi dapat berjalan berdampingan dengan sistem mutu yang lebih formal.</w:t>
      </w:r>
    </w:p>
    <w:p w14:paraId="465DEEE2" w14:textId="77777777" w:rsidR="00E067C2" w:rsidRPr="0052045B" w:rsidRDefault="00E067C2" w:rsidP="006D2852">
      <w:pPr>
        <w:pStyle w:val="NormalWeb"/>
        <w:spacing w:before="0" w:beforeAutospacing="0" w:after="0" w:afterAutospacing="0" w:line="360" w:lineRule="auto"/>
        <w:ind w:left="360" w:firstLine="720"/>
        <w:jc w:val="both"/>
        <w:rPr>
          <w:rFonts w:asciiTheme="majorBidi" w:hAnsiTheme="majorBidi" w:cstheme="majorBidi"/>
          <w:sz w:val="22"/>
          <w:szCs w:val="22"/>
          <w:lang w:val="sv-SE"/>
        </w:rPr>
      </w:pPr>
    </w:p>
    <w:p w14:paraId="200F897C"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Profesionalisme Guru Kitab Kuning</w:t>
      </w:r>
    </w:p>
    <w:p w14:paraId="0F1A10D3"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Peningkatan profesionalisme guru kitab kuning pasca akreditasi menunjukkan bahwa akreditasi tidak hanya bersifat administratif, tetapi juga berfungsi sebagai alat pembinaan. Guru terdorong mengikuti pelatihan, menyusun portofolio, dan lebih disiplin dalam proses mengajar. Menurut Mulyasa (2017), profesionalisme guru mencakup kompetensi pedagogik, profesional, kepribadian, dan sosial yang harus dikembangkan melalui pembinaan berkelanjutan.</w:t>
      </w:r>
    </w:p>
    <w:p w14:paraId="760419A9"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Sejalan dengan itu, penelitian Zamakhsyari Dhofier (2011) tentang pesantren menunjukkan bahwa peran kiai atau guru tidak hanya sebagai pengajar, tetapi juga sebagai pengasuh yang menjadi teladan. Akreditasi dengan indikator penilaian kinerja guru membantu memperkuat peran tersebut dalam kerangka yang lebih sistematis.</w:t>
      </w:r>
    </w:p>
    <w:p w14:paraId="16594C47"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7ACFF836"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Perubahan Aktivitas Belajar Santri</w:t>
      </w:r>
    </w:p>
    <w:p w14:paraId="17722735"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Hasil penelitian memperlihatkan bahwa santri lebih termotivasi dengan adanya jadwal pembelajaran yang terstruktur dan evaluasi yang lebih jelas. Hal ini sesuai dengan teori belajar konstruktivistik Vygotsky (1978) yang menekankan pentingnya struktur, interaksi sosial, dan bimbingan dalam membangun pemahaman peserta didik.</w:t>
      </w:r>
    </w:p>
    <w:p w14:paraId="1156CBD6"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Dalam penelitian Zaini (2015), santri yang belajar dengan metode terarah terbukti memiliki daya serap lebih baik dibandingkan mereka yang hanya mengandalkan pola pengajaran tradisional yang tidak terdokumentasi. Dengan demikian, akreditasi membantu menciptakan lingkungan belajar yang kondusif tanpa menghilangkan esensi tradisi lisan dalam pembelajaran kitab kuning.</w:t>
      </w:r>
    </w:p>
    <w:p w14:paraId="49D69155"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47923362"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Tata Kelola dan Manajemen Dayah</w:t>
      </w:r>
    </w:p>
    <w:p w14:paraId="4ECA17B5"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Akreditasi juga membawa perubahan pada aspek tata kelola dayah, seperti adanya struktur organisasi, laporan keuangan, serta dokumentasi kegiatan yang lebih tertib. Hal ini sejalan dengan teori manajemen pendidikan yang dikemukakan oleh Terry (2010), yaitu bahwa fungsi manajemen meliputi perencanaan, pengorganisasian, pelaksanaan, dan pengawasan.</w:t>
      </w:r>
    </w:p>
    <w:p w14:paraId="39FC642E"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Penelitian Ismail (2021) menegaskan bahwa tata kelola yang baik di lembaga pendidikan Islam, termasuk dayah, dapat meningkatkan akuntabilitas, transparansi, serta daya saing lembaga tersebut. Maka, akreditasi berfungsi sebagai instrumen yang mengubah tata kelola tradisional menjadi lebih profesional, tanpa harus menghapus kharisma kepemimpinan </w:t>
      </w:r>
      <w:r w:rsidRPr="0052045B">
        <w:rPr>
          <w:rStyle w:val="Emphasis"/>
          <w:rFonts w:asciiTheme="majorBidi" w:hAnsiTheme="majorBidi" w:cstheme="majorBidi"/>
          <w:sz w:val="22"/>
          <w:szCs w:val="22"/>
          <w:lang w:val="sv-SE"/>
        </w:rPr>
        <w:t>teungku</w:t>
      </w:r>
      <w:r w:rsidRPr="0052045B">
        <w:rPr>
          <w:rFonts w:asciiTheme="majorBidi" w:hAnsiTheme="majorBidi" w:cstheme="majorBidi"/>
          <w:sz w:val="22"/>
          <w:szCs w:val="22"/>
          <w:lang w:val="sv-SE"/>
        </w:rPr>
        <w:t>.</w:t>
      </w:r>
    </w:p>
    <w:p w14:paraId="229C01FE"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56053979"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lastRenderedPageBreak/>
        <w:t>Peningkatan Kepercayaan Masyarakat</w:t>
      </w:r>
    </w:p>
    <w:p w14:paraId="217ACCBF"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Masyarakat lebih percaya menitipkan anak-anak mereka ke dayah yang telah terakreditasi. Kepercayaan ini erat kaitannya dengan konsep legitimasi sosial sebagaimana dijelaskan oleh Suchman (1995), yaitu penerimaan masyarakat terhadap sebuah institusi ketika institusi tersebut menunjukkan kompetensi, integritas, dan kepatuhan pada standar tertentu.</w:t>
      </w:r>
    </w:p>
    <w:p w14:paraId="7F0D838A"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Penelitian Azra (2019) menambahkan bahwa keberadaan sertifikasi atau akreditasi meningkatkan daya tawar lembaga pendidikan Islam dalam menghadapi tantangan globalisasi. Dengan demikian, akreditasi tidak hanya berdampak pada internal dayah, tetapi juga memperkuat posisi eksternal dayah di mata masyarakat.</w:t>
      </w:r>
    </w:p>
    <w:p w14:paraId="447C4243"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6E06EB5D"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Tantangan Implementasi Akreditasi</w:t>
      </w:r>
    </w:p>
    <w:p w14:paraId="1A8045A0"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Meskipun memberikan dampak positif, penelitian juga menemukan adanya tantangan, seperti keterbatasan SDM asesor, kesulitan pengisian borang, serta resistensi sebagian pimpinan dayah. Kondisi ini sejalan dengan temuan Wahid (2018) bahwa pesantren tradisional sering kali mengalami kesulitan dalam beradaptasi dengan standar administrasi modern karena terbiasa dengan sistem nonformal berbasis tradisi.</w:t>
      </w:r>
    </w:p>
    <w:p w14:paraId="72245CC0" w14:textId="0C547B9F" w:rsidR="008F737D" w:rsidRPr="008F737D"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Oleh karena itu, akreditasi perlu dipahami bukan sekadar sebagai beban administrasi, melainkan sebagai instrumen pembinaan. Pendekatan persuasif dan pendampingan berkelanjutan menjadi kunci agar proses akreditasi dapat berjalan efektif (Miles, Huberman, &amp; Saldaña, 2018).</w:t>
      </w:r>
    </w:p>
    <w:p w14:paraId="2809C66E" w14:textId="77777777" w:rsidR="008F737D" w:rsidRDefault="00B16F2E">
      <w:pPr>
        <w:pBdr>
          <w:top w:val="nil"/>
          <w:left w:val="nil"/>
          <w:bottom w:val="nil"/>
          <w:right w:val="nil"/>
          <w:between w:val="nil"/>
        </w:pBdr>
        <w:spacing w:before="240" w:line="360" w:lineRule="auto"/>
        <w:ind w:firstLine="0"/>
        <w:rPr>
          <w:rFonts w:eastAsia="Times New Roman"/>
          <w:b/>
          <w:color w:val="000000"/>
          <w:lang w:val="sv-SE"/>
        </w:rPr>
      </w:pPr>
      <w:r w:rsidRPr="00C327CE">
        <w:rPr>
          <w:rFonts w:eastAsia="Times New Roman"/>
          <w:b/>
          <w:color w:val="000000"/>
          <w:lang w:val="sv-SE"/>
        </w:rPr>
        <w:t>K</w:t>
      </w:r>
      <w:r w:rsidRPr="00C327CE">
        <w:rPr>
          <w:rFonts w:eastAsia="Times New Roman"/>
          <w:b/>
          <w:color w:val="000000"/>
          <w:lang w:val="sv-SE"/>
        </w:rPr>
        <w:t>ESIMPULAN</w:t>
      </w:r>
    </w:p>
    <w:p w14:paraId="5853547F" w14:textId="77777777" w:rsidR="008F737D" w:rsidRPr="008F737D" w:rsidRDefault="008F737D" w:rsidP="008F737D">
      <w:pPr>
        <w:spacing w:line="360" w:lineRule="auto"/>
        <w:ind w:firstLine="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sv-SE" w:eastAsia="id-ID"/>
        </w:rPr>
        <w:t xml:space="preserve">Berdasarkan hasil dan pembahasan penelitian </w:t>
      </w:r>
      <w:r w:rsidRPr="008F737D">
        <w:rPr>
          <w:rFonts w:asciiTheme="majorBidi" w:eastAsia="Times New Roman" w:hAnsiTheme="majorBidi" w:cstheme="majorBidi"/>
          <w:sz w:val="22"/>
          <w:szCs w:val="22"/>
          <w:lang w:val="id-ID" w:eastAsia="id-ID"/>
        </w:rPr>
        <w:t xml:space="preserve">menunjukkan bahwa akreditasi yang dilakukan oleh Badan Akreditasi Dayah Aceh (BADA) memberikan dampak signifikan terhadap peningkatan kualitas pembelajaran kitab kuning di dayah Aceh. Akreditasi berperan tidak hanya sebagai instrumen administratif, </w:t>
      </w:r>
      <w:r w:rsidRPr="008F737D">
        <w:rPr>
          <w:rFonts w:asciiTheme="majorBidi" w:eastAsia="Times New Roman" w:hAnsiTheme="majorBidi" w:cstheme="majorBidi"/>
          <w:sz w:val="22"/>
          <w:szCs w:val="22"/>
          <w:lang w:val="sv-SE" w:eastAsia="id-ID"/>
        </w:rPr>
        <w:t xml:space="preserve">akan </w:t>
      </w:r>
      <w:r w:rsidRPr="008F737D">
        <w:rPr>
          <w:rFonts w:asciiTheme="majorBidi" w:eastAsia="Times New Roman" w:hAnsiTheme="majorBidi" w:cstheme="majorBidi"/>
          <w:sz w:val="22"/>
          <w:szCs w:val="22"/>
          <w:lang w:val="id-ID" w:eastAsia="id-ID"/>
        </w:rPr>
        <w:t>tetapi juga sebagai sarana pembinaan mutu pendidikan Islam tradisional.</w:t>
      </w:r>
    </w:p>
    <w:p w14:paraId="0FDD6DD9" w14:textId="77777777" w:rsidR="008F737D" w:rsidRPr="008F737D" w:rsidRDefault="008F737D" w:rsidP="008F737D">
      <w:pPr>
        <w:spacing w:line="360" w:lineRule="auto"/>
        <w:ind w:firstLine="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i/>
          <w:iCs/>
          <w:sz w:val="22"/>
          <w:szCs w:val="22"/>
          <w:lang w:val="id-ID" w:eastAsia="id-ID"/>
        </w:rPr>
        <w:t>Pertama</w:t>
      </w:r>
      <w:r w:rsidRPr="008F737D">
        <w:rPr>
          <w:rFonts w:asciiTheme="majorBidi" w:eastAsia="Times New Roman" w:hAnsiTheme="majorBidi" w:cstheme="majorBidi"/>
          <w:sz w:val="22"/>
          <w:szCs w:val="22"/>
          <w:lang w:val="id-ID" w:eastAsia="id-ID"/>
        </w:rPr>
        <w:t xml:space="preserve">, akreditasi mendorong penataan kurikulum dan silabus kitab kuning sehingga pembelajaran menjadi lebih terstruktur tanpa menghilangkan identitas khas dayah. </w:t>
      </w:r>
      <w:r w:rsidRPr="008F737D">
        <w:rPr>
          <w:rFonts w:asciiTheme="majorBidi" w:eastAsia="Times New Roman" w:hAnsiTheme="majorBidi" w:cstheme="majorBidi"/>
          <w:i/>
          <w:iCs/>
          <w:sz w:val="22"/>
          <w:szCs w:val="22"/>
          <w:lang w:val="id-ID" w:eastAsia="id-ID"/>
        </w:rPr>
        <w:t>Kedua,</w:t>
      </w:r>
      <w:r w:rsidRPr="008F737D">
        <w:rPr>
          <w:rFonts w:asciiTheme="majorBidi" w:eastAsia="Times New Roman" w:hAnsiTheme="majorBidi" w:cstheme="majorBidi"/>
          <w:sz w:val="22"/>
          <w:szCs w:val="22"/>
          <w:lang w:val="id-ID" w:eastAsia="id-ID"/>
        </w:rPr>
        <w:t xml:space="preserve"> profesionalisme guru kitab kuning meningkat melalui tuntutan penyusunan portofolio, pelatihan, dan evaluasi kinerja. </w:t>
      </w:r>
      <w:r w:rsidRPr="008F737D">
        <w:rPr>
          <w:rFonts w:asciiTheme="majorBidi" w:eastAsia="Times New Roman" w:hAnsiTheme="majorBidi" w:cstheme="majorBidi"/>
          <w:i/>
          <w:iCs/>
          <w:sz w:val="22"/>
          <w:szCs w:val="22"/>
          <w:lang w:val="id-ID" w:eastAsia="id-ID"/>
        </w:rPr>
        <w:t>Ketiga,</w:t>
      </w:r>
      <w:r w:rsidRPr="008F737D">
        <w:rPr>
          <w:rFonts w:asciiTheme="majorBidi" w:eastAsia="Times New Roman" w:hAnsiTheme="majorBidi" w:cstheme="majorBidi"/>
          <w:sz w:val="22"/>
          <w:szCs w:val="22"/>
          <w:lang w:val="id-ID" w:eastAsia="id-ID"/>
        </w:rPr>
        <w:t xml:space="preserve"> aktivitas belajar santri menjadi lebih terarah berkat adanya jadwal, evaluasi, dan sistem dokumentasi yang lebih baik. </w:t>
      </w:r>
      <w:r w:rsidRPr="008F737D">
        <w:rPr>
          <w:rFonts w:asciiTheme="majorBidi" w:eastAsia="Times New Roman" w:hAnsiTheme="majorBidi" w:cstheme="majorBidi"/>
          <w:i/>
          <w:iCs/>
          <w:sz w:val="22"/>
          <w:szCs w:val="22"/>
          <w:lang w:val="id-ID" w:eastAsia="id-ID"/>
        </w:rPr>
        <w:t>Keempat</w:t>
      </w:r>
      <w:r w:rsidRPr="008F737D">
        <w:rPr>
          <w:rFonts w:asciiTheme="majorBidi" w:eastAsia="Times New Roman" w:hAnsiTheme="majorBidi" w:cstheme="majorBidi"/>
          <w:sz w:val="22"/>
          <w:szCs w:val="22"/>
          <w:lang w:val="id-ID" w:eastAsia="id-ID"/>
        </w:rPr>
        <w:t>, tata kelola dan manajemen dayah mengalami perbaikan, terutama dalam aspek administrasi, organisasi, dan laporan kegiatan. Kelima, status akreditasi meningkatkan kepercayaan masyarakat terhadap dayah dan memperkuat pengakuan sosial alumni.</w:t>
      </w:r>
      <w:r w:rsidRPr="008F737D">
        <w:rPr>
          <w:rFonts w:asciiTheme="majorBidi" w:eastAsia="Times New Roman" w:hAnsiTheme="majorBidi" w:cstheme="majorBidi"/>
          <w:sz w:val="22"/>
          <w:szCs w:val="22"/>
          <w:lang w:val="sv-SE" w:eastAsia="id-ID"/>
        </w:rPr>
        <w:t xml:space="preserve"> </w:t>
      </w:r>
      <w:r w:rsidRPr="008F737D">
        <w:rPr>
          <w:rFonts w:asciiTheme="majorBidi" w:eastAsia="Times New Roman" w:hAnsiTheme="majorBidi" w:cstheme="majorBidi"/>
          <w:sz w:val="22"/>
          <w:szCs w:val="22"/>
          <w:lang w:val="id-ID" w:eastAsia="id-ID"/>
        </w:rPr>
        <w:t>Meskipun demikian, tantangan masih ditemui,</w:t>
      </w:r>
      <w:r w:rsidRPr="008F737D">
        <w:rPr>
          <w:rFonts w:asciiTheme="majorBidi" w:eastAsia="Times New Roman" w:hAnsiTheme="majorBidi" w:cstheme="majorBidi"/>
          <w:sz w:val="22"/>
          <w:szCs w:val="22"/>
          <w:lang w:val="sv-SE" w:eastAsia="id-ID"/>
        </w:rPr>
        <w:t xml:space="preserve"> di lapangan yaitu </w:t>
      </w:r>
      <w:r w:rsidRPr="008F737D">
        <w:rPr>
          <w:rFonts w:asciiTheme="majorBidi" w:eastAsia="Times New Roman" w:hAnsiTheme="majorBidi" w:cstheme="majorBidi"/>
          <w:sz w:val="22"/>
          <w:szCs w:val="22"/>
          <w:lang w:val="id-ID" w:eastAsia="id-ID"/>
        </w:rPr>
        <w:t>keterbatasan jumlah asesor, kesulitan pengisian borang, serta resistensi sebagian pimpinan dayah terhadap sistem baru. Oleh karena itu, akreditasi perlu terus dikembangkan dengan pendekatan persuasif, pendampingan berkelanjutan, serta digitalisasi sistem agar lebih efektif dan adaptif terhadap dinamika pendidikan Islam kontemporer.</w:t>
      </w:r>
    </w:p>
    <w:p w14:paraId="3E2A2D58" w14:textId="3ED9B2B8" w:rsidR="00A41870" w:rsidRDefault="008F737D" w:rsidP="008F737D">
      <w:pPr>
        <w:spacing w:line="360" w:lineRule="auto"/>
        <w:ind w:firstLine="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lastRenderedPageBreak/>
        <w:t>Dengan demikian, akreditasi terbukti mampu memperkuat tradisi pendidikan kitab kuning sekaligus menyesuaikannya dengan kebutuhan mutu pendidikan modern, sehingga dayah tetap relevan dan berdaya saing dalam konteks sosial pendidikan di Aceh.</w:t>
      </w:r>
    </w:p>
    <w:p w14:paraId="4AAD5DB2" w14:textId="77777777" w:rsidR="008F737D" w:rsidRPr="000A69E2" w:rsidRDefault="008F737D" w:rsidP="008F737D">
      <w:pPr>
        <w:spacing w:line="360" w:lineRule="auto"/>
        <w:ind w:firstLine="0"/>
        <w:rPr>
          <w:rFonts w:asciiTheme="majorBidi" w:eastAsia="Times New Roman" w:hAnsiTheme="majorBidi" w:cstheme="majorBidi"/>
          <w:b/>
          <w:bCs/>
          <w:szCs w:val="24"/>
          <w:lang w:val="sv-SE" w:eastAsia="id-ID"/>
        </w:rPr>
      </w:pPr>
      <w:r w:rsidRPr="000A69E2">
        <w:rPr>
          <w:rFonts w:asciiTheme="majorBidi" w:eastAsia="Times New Roman" w:hAnsiTheme="majorBidi" w:cstheme="majorBidi"/>
          <w:b/>
          <w:bCs/>
          <w:szCs w:val="24"/>
          <w:lang w:val="sv-SE" w:eastAsia="id-ID"/>
        </w:rPr>
        <w:t xml:space="preserve">UCAPAN TERIMA KASIH </w:t>
      </w:r>
    </w:p>
    <w:p w14:paraId="77F05DD0" w14:textId="77777777" w:rsidR="008F737D" w:rsidRPr="008F737D" w:rsidRDefault="008F737D" w:rsidP="008F737D">
      <w:pPr>
        <w:spacing w:line="360" w:lineRule="auto"/>
        <w:ind w:firstLine="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Penulis menyampaikan rasa syukur kepada Allah Swt. atas rahmat dan karunia-Nya sehingga penelitian ini dapat diselesaikan dengan baik. Ucapan terima kasih yang sebesar-besarnya penulis sampaikan kepada Badan Akreditasi Dayah Aceh (BADA) yang telah memberikan kesempatan, dukungan data, dan informasi berharga selama proses penelitian. Penghargaan juga ditujukan kepada para pimpinan dayah, guru kitab kuning, serta santri yang telah meluangkan waktu untuk memberikan wawancara, pandangan, serta pengalaman nyata yang sangat berarti dalam penyusunan penelitian ini. Tidak lupa penulis mengucapkan terima kasih kepada rekan-rekan akademisi dan peneliti yang telah memberikan masukan dalam proses perbaikan naskah.</w:t>
      </w:r>
      <w:r w:rsidRPr="008F737D">
        <w:rPr>
          <w:rFonts w:asciiTheme="majorBidi" w:eastAsia="Times New Roman" w:hAnsiTheme="majorBidi" w:cstheme="majorBidi"/>
          <w:sz w:val="22"/>
          <w:szCs w:val="22"/>
          <w:lang w:val="sv-SE" w:eastAsia="id-ID"/>
        </w:rPr>
        <w:t xml:space="preserve"> </w:t>
      </w:r>
      <w:r w:rsidRPr="008F737D">
        <w:rPr>
          <w:rFonts w:asciiTheme="majorBidi" w:eastAsia="Times New Roman" w:hAnsiTheme="majorBidi" w:cstheme="majorBidi"/>
          <w:sz w:val="22"/>
          <w:szCs w:val="22"/>
          <w:lang w:val="id-ID" w:eastAsia="id-ID"/>
        </w:rPr>
        <w:t>Akhirnya, penulis menyadari bahwa tanpa dukungan, doa, dan bantuan dari berbagai pihak, penelitian ini tidak akan terselesaikan dengan baik. Semoga segala bentuk kontribusi yang diberikan mendapatkan balasan yang layak dari Allah Swt.</w:t>
      </w:r>
    </w:p>
    <w:p w14:paraId="5B4BE0D5" w14:textId="7DB8C7F0" w:rsidR="008F737D" w:rsidRDefault="008F737D" w:rsidP="008F737D">
      <w:pPr>
        <w:ind w:firstLine="0"/>
        <w:rPr>
          <w:rFonts w:asciiTheme="majorBidi" w:eastAsia="Times New Roman" w:hAnsiTheme="majorBidi" w:cstheme="majorBidi"/>
          <w:szCs w:val="24"/>
          <w:lang w:val="id-ID" w:eastAsia="id-ID"/>
        </w:rPr>
      </w:pPr>
    </w:p>
    <w:p w14:paraId="5B8BBCB1" w14:textId="77777777" w:rsidR="008F737D" w:rsidRPr="00C327CE" w:rsidRDefault="008F737D" w:rsidP="008F737D">
      <w:pPr>
        <w:pBdr>
          <w:top w:val="nil"/>
          <w:left w:val="nil"/>
          <w:bottom w:val="nil"/>
          <w:right w:val="nil"/>
          <w:between w:val="nil"/>
        </w:pBdr>
        <w:spacing w:before="240" w:line="360" w:lineRule="auto"/>
        <w:ind w:firstLine="0"/>
        <w:rPr>
          <w:rFonts w:eastAsia="Times New Roman"/>
          <w:b/>
          <w:color w:val="000000"/>
          <w:lang w:val="sv-SE"/>
        </w:rPr>
      </w:pPr>
      <w:r w:rsidRPr="00C327CE">
        <w:rPr>
          <w:rFonts w:eastAsia="Times New Roman"/>
          <w:b/>
          <w:color w:val="000000"/>
          <w:lang w:val="sv-SE"/>
        </w:rPr>
        <w:t>DAFTAR PUSTAKA</w:t>
      </w:r>
    </w:p>
    <w:p w14:paraId="754147B7" w14:textId="77777777" w:rsidR="008F737D" w:rsidRPr="008F737D" w:rsidRDefault="008F737D" w:rsidP="008F737D">
      <w:pPr>
        <w:spacing w:before="120"/>
        <w:ind w:left="720" w:hanging="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 xml:space="preserve">Azra, A. (2019). </w:t>
      </w:r>
      <w:r w:rsidRPr="008F737D">
        <w:rPr>
          <w:rFonts w:asciiTheme="majorBidi" w:eastAsia="Times New Roman" w:hAnsiTheme="majorBidi" w:cstheme="majorBidi"/>
          <w:i/>
          <w:iCs/>
          <w:sz w:val="22"/>
          <w:szCs w:val="22"/>
          <w:lang w:val="id-ID" w:eastAsia="id-ID"/>
        </w:rPr>
        <w:t>Pendidikan Islam: Tradisi dan Modernisasi Menuju Milenium Baru</w:t>
      </w:r>
      <w:r w:rsidRPr="008F737D">
        <w:rPr>
          <w:rFonts w:asciiTheme="majorBidi" w:eastAsia="Times New Roman" w:hAnsiTheme="majorBidi" w:cstheme="majorBidi"/>
          <w:sz w:val="22"/>
          <w:szCs w:val="22"/>
          <w:lang w:val="id-ID" w:eastAsia="id-ID"/>
        </w:rPr>
        <w:t>. Jakarta: Kencana.</w:t>
      </w:r>
    </w:p>
    <w:p w14:paraId="64693762" w14:textId="77777777" w:rsidR="008F737D" w:rsidRPr="008F737D" w:rsidRDefault="008F737D" w:rsidP="008F737D">
      <w:pPr>
        <w:spacing w:before="120"/>
        <w:ind w:left="720" w:hanging="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 xml:space="preserve">Daulay, H. P. (2018). </w:t>
      </w:r>
      <w:r w:rsidRPr="008F737D">
        <w:rPr>
          <w:rFonts w:asciiTheme="majorBidi" w:eastAsia="Times New Roman" w:hAnsiTheme="majorBidi" w:cstheme="majorBidi"/>
          <w:i/>
          <w:iCs/>
          <w:sz w:val="22"/>
          <w:szCs w:val="22"/>
          <w:lang w:val="id-ID" w:eastAsia="id-ID"/>
        </w:rPr>
        <w:t>Sejarah Pertumbuhan dan Pembaruan Pendidikan Islam di Indonesia</w:t>
      </w:r>
      <w:r w:rsidRPr="008F737D">
        <w:rPr>
          <w:rFonts w:asciiTheme="majorBidi" w:eastAsia="Times New Roman" w:hAnsiTheme="majorBidi" w:cstheme="majorBidi"/>
          <w:sz w:val="22"/>
          <w:szCs w:val="22"/>
          <w:lang w:val="id-ID" w:eastAsia="id-ID"/>
        </w:rPr>
        <w:t>. Jakarta: Prenadamedia Group.</w:t>
      </w:r>
    </w:p>
    <w:p w14:paraId="337E86D7" w14:textId="77777777" w:rsidR="008F737D" w:rsidRPr="008F737D" w:rsidRDefault="008F737D" w:rsidP="008F737D">
      <w:pPr>
        <w:spacing w:before="120"/>
        <w:ind w:left="720" w:hanging="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 xml:space="preserve">Hasbullah. (2019). </w:t>
      </w:r>
      <w:r w:rsidRPr="008F737D">
        <w:rPr>
          <w:rFonts w:asciiTheme="majorBidi" w:eastAsia="Times New Roman" w:hAnsiTheme="majorBidi" w:cstheme="majorBidi"/>
          <w:i/>
          <w:iCs/>
          <w:sz w:val="22"/>
          <w:szCs w:val="22"/>
          <w:lang w:val="id-ID" w:eastAsia="id-ID"/>
        </w:rPr>
        <w:t>Dasar-dasar Ilmu Pendidikan</w:t>
      </w:r>
      <w:r w:rsidRPr="008F737D">
        <w:rPr>
          <w:rFonts w:asciiTheme="majorBidi" w:eastAsia="Times New Roman" w:hAnsiTheme="majorBidi" w:cstheme="majorBidi"/>
          <w:sz w:val="22"/>
          <w:szCs w:val="22"/>
          <w:lang w:val="id-ID" w:eastAsia="id-ID"/>
        </w:rPr>
        <w:t>. Jakarta: Raja Grafindo Persada.</w:t>
      </w:r>
    </w:p>
    <w:p w14:paraId="1807B096" w14:textId="77777777" w:rsidR="008F737D" w:rsidRPr="008F737D" w:rsidRDefault="008F737D" w:rsidP="008F737D">
      <w:pPr>
        <w:spacing w:before="120"/>
        <w:ind w:left="720" w:hanging="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 xml:space="preserve">Ismail, M. (2021). Akreditasi dayah dan implikasinya terhadap mutu pendidikan Islam di Aceh. </w:t>
      </w:r>
      <w:r w:rsidRPr="008F737D">
        <w:rPr>
          <w:rFonts w:asciiTheme="majorBidi" w:eastAsia="Times New Roman" w:hAnsiTheme="majorBidi" w:cstheme="majorBidi"/>
          <w:i/>
          <w:iCs/>
          <w:sz w:val="22"/>
          <w:szCs w:val="22"/>
          <w:lang w:val="id-ID" w:eastAsia="id-ID"/>
        </w:rPr>
        <w:t>Jurnal Pendidikan Islam</w:t>
      </w:r>
      <w:r w:rsidRPr="008F737D">
        <w:rPr>
          <w:rFonts w:asciiTheme="majorBidi" w:eastAsia="Times New Roman" w:hAnsiTheme="majorBidi" w:cstheme="majorBidi"/>
          <w:sz w:val="22"/>
          <w:szCs w:val="22"/>
          <w:lang w:val="id-ID" w:eastAsia="id-ID"/>
        </w:rPr>
        <w:t>, 7(2), 145–160.</w:t>
      </w:r>
    </w:p>
    <w:p w14:paraId="7A0E3318" w14:textId="77777777" w:rsidR="008F737D" w:rsidRPr="008F737D" w:rsidRDefault="008F737D" w:rsidP="008F737D">
      <w:pPr>
        <w:spacing w:before="120"/>
        <w:ind w:left="720" w:hanging="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 xml:space="preserve">Mastuki. (2020). Standar mutu pendidikan pesantren dan tantangan akreditasi. </w:t>
      </w:r>
      <w:r w:rsidRPr="008F737D">
        <w:rPr>
          <w:rFonts w:asciiTheme="majorBidi" w:eastAsia="Times New Roman" w:hAnsiTheme="majorBidi" w:cstheme="majorBidi"/>
          <w:i/>
          <w:iCs/>
          <w:sz w:val="22"/>
          <w:szCs w:val="22"/>
          <w:lang w:val="id-ID" w:eastAsia="id-ID"/>
        </w:rPr>
        <w:t>Edukasia: Jurnal Penelitian Pendidikan Islam</w:t>
      </w:r>
      <w:r w:rsidRPr="008F737D">
        <w:rPr>
          <w:rFonts w:asciiTheme="majorBidi" w:eastAsia="Times New Roman" w:hAnsiTheme="majorBidi" w:cstheme="majorBidi"/>
          <w:sz w:val="22"/>
          <w:szCs w:val="22"/>
          <w:lang w:val="id-ID" w:eastAsia="id-ID"/>
        </w:rPr>
        <w:t>, 15(1), 33–50.</w:t>
      </w:r>
    </w:p>
    <w:p w14:paraId="0DCB204D"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t xml:space="preserve">Creswell, J. W., &amp; Poth, C. N. (2018). </w:t>
      </w:r>
      <w:r w:rsidRPr="008F737D">
        <w:rPr>
          <w:rStyle w:val="Emphasis"/>
          <w:rFonts w:asciiTheme="majorBidi" w:hAnsiTheme="majorBidi" w:cstheme="majorBidi"/>
          <w:sz w:val="22"/>
          <w:szCs w:val="22"/>
        </w:rPr>
        <w:t>Qualitative Inquiry &amp; Research Design: Choosing Among Five Approaches</w:t>
      </w:r>
      <w:r w:rsidRPr="008F737D">
        <w:rPr>
          <w:rFonts w:asciiTheme="majorBidi" w:hAnsiTheme="majorBidi" w:cstheme="majorBidi"/>
          <w:sz w:val="22"/>
          <w:szCs w:val="22"/>
        </w:rPr>
        <w:t xml:space="preserve"> (4th ed.). Thousand Oaks, CA: SAGE.</w:t>
      </w:r>
    </w:p>
    <w:p w14:paraId="44A2D1C2"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lang w:val="sv-SE"/>
        </w:rPr>
      </w:pPr>
      <w:r w:rsidRPr="008F737D">
        <w:rPr>
          <w:rFonts w:asciiTheme="majorBidi" w:hAnsiTheme="majorBidi" w:cstheme="majorBidi"/>
          <w:sz w:val="22"/>
          <w:szCs w:val="22"/>
        </w:rPr>
        <w:t xml:space="preserve">Miles, M. B., Huberman, A. M., &amp; Saldaña, J. (2018). </w:t>
      </w:r>
      <w:r w:rsidRPr="008F737D">
        <w:rPr>
          <w:rStyle w:val="Emphasis"/>
          <w:rFonts w:asciiTheme="majorBidi" w:hAnsiTheme="majorBidi" w:cstheme="majorBidi"/>
          <w:sz w:val="22"/>
          <w:szCs w:val="22"/>
        </w:rPr>
        <w:t>Qualitative Data Analysis: A Methods Sourcebook</w:t>
      </w:r>
      <w:r w:rsidRPr="008F737D">
        <w:rPr>
          <w:rFonts w:asciiTheme="majorBidi" w:hAnsiTheme="majorBidi" w:cstheme="majorBidi"/>
          <w:sz w:val="22"/>
          <w:szCs w:val="22"/>
        </w:rPr>
        <w:t xml:space="preserve"> (4th ed.). </w:t>
      </w:r>
      <w:r w:rsidRPr="008F737D">
        <w:rPr>
          <w:rFonts w:asciiTheme="majorBidi" w:hAnsiTheme="majorBidi" w:cstheme="majorBidi"/>
          <w:sz w:val="22"/>
          <w:szCs w:val="22"/>
          <w:lang w:val="sv-SE"/>
        </w:rPr>
        <w:t>Thousand Oaks, CA: SAGE.</w:t>
      </w:r>
    </w:p>
    <w:p w14:paraId="3555EAA0"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lang w:val="sv-SE"/>
        </w:rPr>
      </w:pPr>
      <w:r w:rsidRPr="008F737D">
        <w:rPr>
          <w:rFonts w:asciiTheme="majorBidi" w:hAnsiTheme="majorBidi" w:cstheme="majorBidi"/>
          <w:sz w:val="22"/>
          <w:szCs w:val="22"/>
          <w:lang w:val="sv-SE"/>
        </w:rPr>
        <w:t xml:space="preserve">Azra, A. (2019). </w:t>
      </w:r>
      <w:r w:rsidRPr="008F737D">
        <w:rPr>
          <w:rStyle w:val="Emphasis"/>
          <w:rFonts w:asciiTheme="majorBidi" w:hAnsiTheme="majorBidi" w:cstheme="majorBidi"/>
          <w:sz w:val="22"/>
          <w:szCs w:val="22"/>
          <w:lang w:val="sv-SE"/>
        </w:rPr>
        <w:t>Pendidikan Islam: Tradisi dan Modernisasi Menuju Milenium Baru</w:t>
      </w:r>
      <w:r w:rsidRPr="008F737D">
        <w:rPr>
          <w:rFonts w:asciiTheme="majorBidi" w:hAnsiTheme="majorBidi" w:cstheme="majorBidi"/>
          <w:sz w:val="22"/>
          <w:szCs w:val="22"/>
          <w:lang w:val="sv-SE"/>
        </w:rPr>
        <w:t>. Jakarta: Kencana.</w:t>
      </w:r>
    </w:p>
    <w:p w14:paraId="3C16CC39"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lang w:val="sv-SE"/>
        </w:rPr>
      </w:pPr>
      <w:r w:rsidRPr="008F737D">
        <w:rPr>
          <w:rFonts w:asciiTheme="majorBidi" w:hAnsiTheme="majorBidi" w:cstheme="majorBidi"/>
          <w:sz w:val="22"/>
          <w:szCs w:val="22"/>
          <w:lang w:val="sv-SE"/>
        </w:rPr>
        <w:t xml:space="preserve">Dhofier, Z. (2011). </w:t>
      </w:r>
      <w:r w:rsidRPr="008F737D">
        <w:rPr>
          <w:rStyle w:val="Emphasis"/>
          <w:rFonts w:asciiTheme="majorBidi" w:hAnsiTheme="majorBidi" w:cstheme="majorBidi"/>
          <w:sz w:val="22"/>
          <w:szCs w:val="22"/>
          <w:lang w:val="sv-SE"/>
        </w:rPr>
        <w:t>Tradisi Pesantren: Studi Pandangan Hidup Kiai dan Visinya mengenai Masa Depan Indonesia</w:t>
      </w:r>
      <w:r w:rsidRPr="008F737D">
        <w:rPr>
          <w:rFonts w:asciiTheme="majorBidi" w:hAnsiTheme="majorBidi" w:cstheme="majorBidi"/>
          <w:sz w:val="22"/>
          <w:szCs w:val="22"/>
          <w:lang w:val="sv-SE"/>
        </w:rPr>
        <w:t>. Jakarta: LP3ES.</w:t>
      </w:r>
    </w:p>
    <w:p w14:paraId="51A58737"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lang w:val="sv-SE"/>
        </w:rPr>
      </w:pPr>
      <w:r w:rsidRPr="008F737D">
        <w:rPr>
          <w:rFonts w:asciiTheme="majorBidi" w:hAnsiTheme="majorBidi" w:cstheme="majorBidi"/>
          <w:sz w:val="22"/>
          <w:szCs w:val="22"/>
          <w:lang w:val="sv-SE"/>
        </w:rPr>
        <w:t xml:space="preserve">Ismail, M. (2021). Akreditasi dayah dan implikasinya terhadap mutu pendidikan Islam di Aceh. </w:t>
      </w:r>
      <w:r w:rsidRPr="008F737D">
        <w:rPr>
          <w:rStyle w:val="Emphasis"/>
          <w:rFonts w:asciiTheme="majorBidi" w:hAnsiTheme="majorBidi" w:cstheme="majorBidi"/>
          <w:sz w:val="22"/>
          <w:szCs w:val="22"/>
          <w:lang w:val="sv-SE"/>
        </w:rPr>
        <w:t>Jurnal Pendidikan Islam</w:t>
      </w:r>
      <w:r w:rsidRPr="008F737D">
        <w:rPr>
          <w:rFonts w:asciiTheme="majorBidi" w:hAnsiTheme="majorBidi" w:cstheme="majorBidi"/>
          <w:sz w:val="22"/>
          <w:szCs w:val="22"/>
          <w:lang w:val="sv-SE"/>
        </w:rPr>
        <w:t>, 7 (2), 145–160.</w:t>
      </w:r>
    </w:p>
    <w:p w14:paraId="56412105"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lang w:val="sv-SE"/>
        </w:rPr>
        <w:t xml:space="preserve">Mastuki. (2020). Standar mutu pendidikan pesantren dan tantangan akreditasi. </w:t>
      </w:r>
      <w:r w:rsidRPr="008F737D">
        <w:rPr>
          <w:rStyle w:val="Emphasis"/>
          <w:rFonts w:asciiTheme="majorBidi" w:hAnsiTheme="majorBidi" w:cstheme="majorBidi"/>
          <w:sz w:val="22"/>
          <w:szCs w:val="22"/>
        </w:rPr>
        <w:t>Edukasia: Jurnal Penelitian Pendidikan Islam</w:t>
      </w:r>
      <w:r w:rsidRPr="008F737D">
        <w:rPr>
          <w:rFonts w:asciiTheme="majorBidi" w:hAnsiTheme="majorBidi" w:cstheme="majorBidi"/>
          <w:sz w:val="22"/>
          <w:szCs w:val="22"/>
        </w:rPr>
        <w:t>, 15(1), 33–50.</w:t>
      </w:r>
    </w:p>
    <w:p w14:paraId="1B9CA711"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t xml:space="preserve">Miles, M. B., Huberman, A. M., &amp; Saldaña, J. (2018). </w:t>
      </w:r>
      <w:r w:rsidRPr="008F737D">
        <w:rPr>
          <w:rStyle w:val="Emphasis"/>
          <w:rFonts w:asciiTheme="majorBidi" w:hAnsiTheme="majorBidi" w:cstheme="majorBidi"/>
          <w:sz w:val="22"/>
          <w:szCs w:val="22"/>
        </w:rPr>
        <w:t>Qualitative Data Analysis: A Methods Sourcebook</w:t>
      </w:r>
      <w:r w:rsidRPr="008F737D">
        <w:rPr>
          <w:rFonts w:asciiTheme="majorBidi" w:hAnsiTheme="majorBidi" w:cstheme="majorBidi"/>
          <w:sz w:val="22"/>
          <w:szCs w:val="22"/>
        </w:rPr>
        <w:t xml:space="preserve"> (4th ed.). Thousand Oaks, CA: SAGE.</w:t>
      </w:r>
    </w:p>
    <w:p w14:paraId="63C20061"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t xml:space="preserve">Mulyasa, E. (2017). </w:t>
      </w:r>
      <w:r w:rsidRPr="008F737D">
        <w:rPr>
          <w:rStyle w:val="Emphasis"/>
          <w:rFonts w:asciiTheme="majorBidi" w:hAnsiTheme="majorBidi" w:cstheme="majorBidi"/>
          <w:sz w:val="22"/>
          <w:szCs w:val="22"/>
        </w:rPr>
        <w:t>Menjadi Guru Profesional</w:t>
      </w:r>
      <w:r w:rsidRPr="008F737D">
        <w:rPr>
          <w:rFonts w:asciiTheme="majorBidi" w:hAnsiTheme="majorBidi" w:cstheme="majorBidi"/>
          <w:sz w:val="22"/>
          <w:szCs w:val="22"/>
        </w:rPr>
        <w:t>. Bandung: Remaja Rosdakarya.</w:t>
      </w:r>
    </w:p>
    <w:p w14:paraId="249574D6"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lastRenderedPageBreak/>
        <w:t xml:space="preserve">Suchman, M. C. (1995). Managing legitimacy: Strategic and institutional approaches. </w:t>
      </w:r>
      <w:r w:rsidRPr="008F737D">
        <w:rPr>
          <w:rStyle w:val="Emphasis"/>
          <w:rFonts w:asciiTheme="majorBidi" w:hAnsiTheme="majorBidi" w:cstheme="majorBidi"/>
          <w:sz w:val="22"/>
          <w:szCs w:val="22"/>
        </w:rPr>
        <w:t>Academy of Management Review</w:t>
      </w:r>
      <w:r w:rsidRPr="008F737D">
        <w:rPr>
          <w:rFonts w:asciiTheme="majorBidi" w:hAnsiTheme="majorBidi" w:cstheme="majorBidi"/>
          <w:sz w:val="22"/>
          <w:szCs w:val="22"/>
        </w:rPr>
        <w:t>, 20(3), 571–610.</w:t>
      </w:r>
    </w:p>
    <w:p w14:paraId="14B0094A"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t xml:space="preserve">Terry, G. R. (2010). </w:t>
      </w:r>
      <w:r w:rsidRPr="008F737D">
        <w:rPr>
          <w:rStyle w:val="Emphasis"/>
          <w:rFonts w:asciiTheme="majorBidi" w:hAnsiTheme="majorBidi" w:cstheme="majorBidi"/>
          <w:sz w:val="22"/>
          <w:szCs w:val="22"/>
        </w:rPr>
        <w:t>Principles of Management</w:t>
      </w:r>
      <w:r w:rsidRPr="008F737D">
        <w:rPr>
          <w:rFonts w:asciiTheme="majorBidi" w:hAnsiTheme="majorBidi" w:cstheme="majorBidi"/>
          <w:sz w:val="22"/>
          <w:szCs w:val="22"/>
        </w:rPr>
        <w:t>. Homewood: Richard D. Irwin.</w:t>
      </w:r>
    </w:p>
    <w:p w14:paraId="406123AA"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lang w:val="sv-SE"/>
        </w:rPr>
      </w:pPr>
      <w:r w:rsidRPr="008F737D">
        <w:rPr>
          <w:rFonts w:asciiTheme="majorBidi" w:hAnsiTheme="majorBidi" w:cstheme="majorBidi"/>
          <w:sz w:val="22"/>
          <w:szCs w:val="22"/>
        </w:rPr>
        <w:t xml:space="preserve">Tilaar, H. A. R. (2012). </w:t>
      </w:r>
      <w:r w:rsidRPr="008F737D">
        <w:rPr>
          <w:rStyle w:val="Emphasis"/>
          <w:rFonts w:asciiTheme="majorBidi" w:hAnsiTheme="majorBidi" w:cstheme="majorBidi"/>
          <w:sz w:val="22"/>
          <w:szCs w:val="22"/>
          <w:lang w:val="sv-SE"/>
        </w:rPr>
        <w:t>Perubahan Sosial dan Pendidikan: Pengantar Pedagogik Transformatif untuk Indonesia</w:t>
      </w:r>
      <w:r w:rsidRPr="008F737D">
        <w:rPr>
          <w:rFonts w:asciiTheme="majorBidi" w:hAnsiTheme="majorBidi" w:cstheme="majorBidi"/>
          <w:sz w:val="22"/>
          <w:szCs w:val="22"/>
          <w:lang w:val="sv-SE"/>
        </w:rPr>
        <w:t>. Jakarta: Grasindo.</w:t>
      </w:r>
    </w:p>
    <w:p w14:paraId="69A20B0B"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t xml:space="preserve">Vygotsky, L. S. (1978). </w:t>
      </w:r>
      <w:r w:rsidRPr="008F737D">
        <w:rPr>
          <w:rStyle w:val="Emphasis"/>
          <w:rFonts w:asciiTheme="majorBidi" w:hAnsiTheme="majorBidi" w:cstheme="majorBidi"/>
          <w:sz w:val="22"/>
          <w:szCs w:val="22"/>
        </w:rPr>
        <w:t>Mind in Society: The Development of Higher Psychological Processes</w:t>
      </w:r>
      <w:r w:rsidRPr="008F737D">
        <w:rPr>
          <w:rFonts w:asciiTheme="majorBidi" w:hAnsiTheme="majorBidi" w:cstheme="majorBidi"/>
          <w:sz w:val="22"/>
          <w:szCs w:val="22"/>
        </w:rPr>
        <w:t>. Cambridge, MA: Harvard University Press.</w:t>
      </w:r>
    </w:p>
    <w:p w14:paraId="088EA07B"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t xml:space="preserve">Wahid, A. (2018). Pesantren dan dinamika modernisasi pendidikan Islam. </w:t>
      </w:r>
      <w:r w:rsidRPr="008F737D">
        <w:rPr>
          <w:rStyle w:val="Emphasis"/>
          <w:rFonts w:asciiTheme="majorBidi" w:hAnsiTheme="majorBidi" w:cstheme="majorBidi"/>
          <w:sz w:val="22"/>
          <w:szCs w:val="22"/>
        </w:rPr>
        <w:t>Al-Tahrir: Jurnal Pemikiran Islam</w:t>
      </w:r>
      <w:r w:rsidRPr="008F737D">
        <w:rPr>
          <w:rFonts w:asciiTheme="majorBidi" w:hAnsiTheme="majorBidi" w:cstheme="majorBidi"/>
          <w:sz w:val="22"/>
          <w:szCs w:val="22"/>
        </w:rPr>
        <w:t>, 18(1), 23–42.</w:t>
      </w:r>
    </w:p>
    <w:p w14:paraId="62AF4F58" w14:textId="77777777" w:rsidR="008F737D" w:rsidRPr="008F737D" w:rsidRDefault="008F737D" w:rsidP="008F737D">
      <w:pPr>
        <w:pStyle w:val="NormalWeb"/>
        <w:spacing w:before="120" w:beforeAutospacing="0" w:after="0" w:afterAutospacing="0"/>
        <w:ind w:left="720" w:hanging="720"/>
        <w:jc w:val="both"/>
        <w:rPr>
          <w:rFonts w:asciiTheme="majorBidi" w:hAnsiTheme="majorBidi" w:cstheme="majorBidi"/>
          <w:sz w:val="22"/>
          <w:szCs w:val="22"/>
        </w:rPr>
      </w:pPr>
      <w:r w:rsidRPr="008F737D">
        <w:rPr>
          <w:rFonts w:asciiTheme="majorBidi" w:hAnsiTheme="majorBidi" w:cstheme="majorBidi"/>
          <w:sz w:val="22"/>
          <w:szCs w:val="22"/>
        </w:rPr>
        <w:t xml:space="preserve">Zaini, A. (2015). </w:t>
      </w:r>
      <w:r w:rsidRPr="008F737D">
        <w:rPr>
          <w:rFonts w:asciiTheme="majorBidi" w:hAnsiTheme="majorBidi" w:cstheme="majorBidi"/>
          <w:sz w:val="22"/>
          <w:szCs w:val="22"/>
          <w:lang w:val="sv-SE"/>
        </w:rPr>
        <w:t xml:space="preserve">Metode pembelajaran kitab kuning di pesantren salaf. </w:t>
      </w:r>
      <w:r w:rsidRPr="008F737D">
        <w:rPr>
          <w:rStyle w:val="Emphasis"/>
          <w:rFonts w:asciiTheme="majorBidi" w:hAnsiTheme="majorBidi" w:cstheme="majorBidi"/>
          <w:sz w:val="22"/>
          <w:szCs w:val="22"/>
        </w:rPr>
        <w:t>Jurnal Pendidikan Islam</w:t>
      </w:r>
      <w:r w:rsidRPr="008F737D">
        <w:rPr>
          <w:rFonts w:asciiTheme="majorBidi" w:hAnsiTheme="majorBidi" w:cstheme="majorBidi"/>
          <w:sz w:val="22"/>
          <w:szCs w:val="22"/>
        </w:rPr>
        <w:t>, 4(2), 211–225.</w:t>
      </w:r>
    </w:p>
    <w:p w14:paraId="4C6FB4A8" w14:textId="77777777" w:rsidR="008F737D" w:rsidRPr="008F737D" w:rsidRDefault="008F737D" w:rsidP="008F737D">
      <w:pPr>
        <w:pBdr>
          <w:top w:val="nil"/>
          <w:left w:val="nil"/>
          <w:bottom w:val="nil"/>
          <w:right w:val="nil"/>
          <w:between w:val="nil"/>
        </w:pBdr>
        <w:spacing w:before="120" w:line="360" w:lineRule="auto"/>
        <w:ind w:firstLine="0"/>
        <w:rPr>
          <w:sz w:val="22"/>
          <w:szCs w:val="22"/>
          <w:lang w:val="sv-SE"/>
        </w:rPr>
      </w:pPr>
    </w:p>
    <w:p w14:paraId="0DCFA6D8" w14:textId="77777777" w:rsidR="00A41870" w:rsidRDefault="00A41870">
      <w:pPr>
        <w:pBdr>
          <w:top w:val="nil"/>
          <w:left w:val="nil"/>
          <w:bottom w:val="nil"/>
          <w:right w:val="nil"/>
          <w:between w:val="nil"/>
        </w:pBdr>
        <w:spacing w:line="360" w:lineRule="auto"/>
        <w:ind w:left="567" w:hanging="567"/>
        <w:rPr>
          <w:rFonts w:eastAsia="Times New Roman"/>
          <w:color w:val="000000"/>
          <w:sz w:val="22"/>
          <w:szCs w:val="22"/>
        </w:rPr>
      </w:pPr>
    </w:p>
    <w:p w14:paraId="72406809" w14:textId="77777777" w:rsidR="00A41870" w:rsidRDefault="00A41870">
      <w:pPr>
        <w:pBdr>
          <w:top w:val="nil"/>
          <w:left w:val="nil"/>
          <w:bottom w:val="nil"/>
          <w:right w:val="nil"/>
          <w:between w:val="nil"/>
        </w:pBdr>
        <w:spacing w:line="360" w:lineRule="auto"/>
        <w:ind w:left="567" w:hanging="567"/>
        <w:rPr>
          <w:rFonts w:eastAsia="Times New Roman"/>
          <w:color w:val="000000"/>
          <w:sz w:val="22"/>
          <w:szCs w:val="22"/>
        </w:rPr>
      </w:pPr>
    </w:p>
    <w:p w14:paraId="2BE40A9F" w14:textId="77777777" w:rsidR="00A41870" w:rsidRDefault="00A41870">
      <w:pPr>
        <w:pBdr>
          <w:top w:val="nil"/>
          <w:left w:val="nil"/>
          <w:bottom w:val="nil"/>
          <w:right w:val="nil"/>
          <w:between w:val="nil"/>
        </w:pBdr>
        <w:spacing w:line="360" w:lineRule="auto"/>
        <w:ind w:left="567" w:hanging="567"/>
        <w:rPr>
          <w:rFonts w:eastAsia="Times New Roman"/>
          <w:color w:val="000000"/>
          <w:sz w:val="22"/>
          <w:szCs w:val="22"/>
        </w:rPr>
      </w:pPr>
    </w:p>
    <w:sectPr w:rsidR="00A41870">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1C28D" w14:textId="77777777" w:rsidR="00B16F2E" w:rsidRDefault="00B16F2E">
      <w:r>
        <w:separator/>
      </w:r>
    </w:p>
  </w:endnote>
  <w:endnote w:type="continuationSeparator" w:id="0">
    <w:p w14:paraId="5ECB8189" w14:textId="77777777" w:rsidR="00B16F2E" w:rsidRDefault="00B16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1E21" w14:textId="7D0ABE99" w:rsidR="00A41870" w:rsidRDefault="00B16F2E">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C327CE">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6BC31FDF" wp14:editId="37AAA513">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5ED1AD1B" w14:textId="77777777" w:rsidR="00A41870" w:rsidRDefault="00B16F2E">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A137" w14:textId="2E904B38" w:rsidR="00A41870" w:rsidRPr="00C327CE" w:rsidRDefault="007E762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r>
      <w:rPr>
        <w:rFonts w:ascii="Cambria" w:eastAsia="Cambria" w:hAnsi="Cambria" w:cs="Cambria"/>
        <w:color w:val="000000"/>
        <w:lang w:val="sv-SE"/>
      </w:rPr>
      <w:t xml:space="preserve">Dampak Akreditasi Oleh Badan Akreditasi Dayah </w:t>
    </w:r>
    <w:r w:rsidR="00B16F2E" w:rsidRPr="00C327CE">
      <w:rPr>
        <w:rFonts w:ascii="Cambria" w:eastAsia="Cambria" w:hAnsi="Cambria" w:cs="Cambria"/>
        <w:color w:val="000000"/>
        <w:lang w:val="sv-SE"/>
      </w:rPr>
      <w:t>....</w:t>
    </w:r>
    <w:r w:rsidR="00B16F2E" w:rsidRPr="00C327CE">
      <w:rPr>
        <w:rFonts w:ascii="Cambria" w:eastAsia="Cambria" w:hAnsi="Cambria" w:cs="Cambria"/>
        <w:color w:val="000000"/>
        <w:sz w:val="22"/>
        <w:szCs w:val="22"/>
        <w:lang w:val="sv-SE"/>
      </w:rPr>
      <w:tab/>
    </w:r>
    <w:r w:rsidR="00B16F2E" w:rsidRPr="00C327CE">
      <w:rPr>
        <w:rFonts w:ascii="Cambria" w:eastAsia="Cambria" w:hAnsi="Cambria" w:cs="Cambria"/>
        <w:color w:val="000000"/>
        <w:sz w:val="22"/>
        <w:szCs w:val="22"/>
        <w:lang w:val="sv-SE"/>
      </w:rPr>
      <w:tab/>
      <w:t xml:space="preserve">      </w:t>
    </w:r>
    <w:r w:rsidR="00B16F2E">
      <w:rPr>
        <w:noProof/>
      </w:rPr>
      <mc:AlternateContent>
        <mc:Choice Requires="wpg">
          <w:drawing>
            <wp:anchor distT="0" distB="0" distL="114300" distR="114300" simplePos="0" relativeHeight="251660288" behindDoc="0" locked="0" layoutInCell="1" hidden="0" allowOverlap="1" wp14:anchorId="288B9582" wp14:editId="0DF35A45">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352797F8" w14:textId="169A55C2" w:rsidR="00A41870" w:rsidRPr="00C327CE" w:rsidRDefault="00B16F2E">
    <w:pPr>
      <w:ind w:firstLine="0"/>
      <w:rPr>
        <w:lang w:val="sv-SE"/>
      </w:rPr>
    </w:pPr>
    <w:r w:rsidRPr="00C327CE">
      <w:rPr>
        <w:lang w:val="sv-SE"/>
      </w:rPr>
      <w:t>(</w:t>
    </w:r>
    <w:r w:rsidR="007E7626">
      <w:rPr>
        <w:lang w:val="sv-SE"/>
      </w:rPr>
      <w:t>Adnin AS</w:t>
    </w:r>
    <w:r w:rsidRPr="00C327CE">
      <w:rPr>
        <w:lang w:val="sv-SE"/>
      </w:rPr>
      <w:t xml:space="preserve"> &amp; </w:t>
    </w:r>
    <w:r w:rsidR="007E7626">
      <w:rPr>
        <w:lang w:val="sv-SE"/>
      </w:rPr>
      <w:t>Jaisar Raju</w:t>
    </w:r>
    <w:r w:rsidRPr="00C327CE">
      <w:rPr>
        <w:lang w:val="sv-SE"/>
      </w:rPr>
      <w:t>, 202</w:t>
    </w:r>
    <w:r w:rsidR="007E7626">
      <w:rPr>
        <w:lang w:val="sv-SE"/>
      </w:rPr>
      <w:t>5</w:t>
    </w:r>
    <w:r w:rsidRPr="00C327CE">
      <w:rPr>
        <w:lang w:val="sv-SE"/>
      </w:rPr>
      <w:t>)</w:t>
    </w:r>
    <w:r w:rsidRPr="00C327CE">
      <w:rPr>
        <w:lang w:val="sv-SE"/>
      </w:rPr>
      <w:tab/>
    </w:r>
    <w:r w:rsidRPr="00C327CE">
      <w:rPr>
        <w:lang w:val="sv-SE"/>
      </w:rPr>
      <w:tab/>
    </w:r>
    <w:r w:rsidRPr="00C327CE">
      <w:rPr>
        <w:lang w:val="sv-SE"/>
      </w:rPr>
      <w:tab/>
    </w:r>
    <w:r w:rsidRPr="00C327CE">
      <w:rPr>
        <w:lang w:val="sv-SE"/>
      </w:rPr>
      <w:tab/>
    </w:r>
    <w:r w:rsidRPr="00C327CE">
      <w:rPr>
        <w:lang w:val="sv-SE"/>
      </w:rPr>
      <w:tab/>
    </w:r>
    <w:r w:rsidRPr="00C327CE">
      <w:rPr>
        <w:lang w:val="sv-SE"/>
      </w:rPr>
      <w:tab/>
    </w:r>
    <w:r w:rsidRPr="00C327CE">
      <w:rPr>
        <w:lang w:val="sv-SE"/>
      </w:rPr>
      <w:tab/>
    </w:r>
    <w:r w:rsidRPr="00C327CE">
      <w:rPr>
        <w:lang w:val="sv-SE"/>
      </w:rPr>
      <w:tab/>
      <w:t xml:space="preserve">                </w:t>
    </w:r>
    <w:r w:rsidRPr="00C327CE">
      <w:rPr>
        <w:rFonts w:ascii="Cambria" w:eastAsia="Cambria" w:hAnsi="Cambria" w:cs="Cambria"/>
        <w:sz w:val="24"/>
        <w:szCs w:val="24"/>
        <w:lang w:val="sv-SE"/>
      </w:rPr>
      <w:t xml:space="preserve"> </w:t>
    </w:r>
    <w:r>
      <w:rPr>
        <w:rFonts w:ascii="Cambria" w:eastAsia="Cambria" w:hAnsi="Cambria" w:cs="Cambria"/>
        <w:sz w:val="24"/>
        <w:szCs w:val="24"/>
      </w:rPr>
      <w:fldChar w:fldCharType="begin"/>
    </w:r>
    <w:r w:rsidRPr="00C327CE">
      <w:rPr>
        <w:rFonts w:ascii="Cambria" w:eastAsia="Cambria" w:hAnsi="Cambria" w:cs="Cambria"/>
        <w:sz w:val="24"/>
        <w:szCs w:val="24"/>
        <w:lang w:val="sv-SE"/>
      </w:rPr>
      <w:instrText>PAGE</w:instrText>
    </w:r>
    <w:r>
      <w:rPr>
        <w:rFonts w:ascii="Cambria" w:eastAsia="Cambria" w:hAnsi="Cambria" w:cs="Cambria"/>
        <w:sz w:val="24"/>
        <w:szCs w:val="24"/>
      </w:rPr>
      <w:fldChar w:fldCharType="separate"/>
    </w:r>
    <w:r w:rsidR="00C327CE" w:rsidRPr="00C327CE">
      <w:rPr>
        <w:rFonts w:ascii="Cambria" w:eastAsia="Cambria" w:hAnsi="Cambria" w:cs="Cambria"/>
        <w:noProof/>
        <w:sz w:val="24"/>
        <w:szCs w:val="24"/>
        <w:lang w:val="sv-SE"/>
      </w:rPr>
      <w:t>1</w:t>
    </w:r>
    <w:r>
      <w:rPr>
        <w:rFonts w:ascii="Cambria" w:eastAsia="Cambria" w:hAnsi="Cambria" w:cs="Cambria"/>
        <w:sz w:val="24"/>
        <w:szCs w:val="24"/>
      </w:rPr>
      <w:fldChar w:fldCharType="end"/>
    </w:r>
  </w:p>
  <w:p w14:paraId="4AFDC887" w14:textId="77777777" w:rsidR="00A41870" w:rsidRPr="00C327CE" w:rsidRDefault="00A4187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36577" w14:textId="77777777" w:rsidR="00B16F2E" w:rsidRDefault="00B16F2E">
      <w:r>
        <w:separator/>
      </w:r>
    </w:p>
  </w:footnote>
  <w:footnote w:type="continuationSeparator" w:id="0">
    <w:p w14:paraId="35C9D307" w14:textId="77777777" w:rsidR="00B16F2E" w:rsidRDefault="00B16F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DEB1A" w14:textId="77777777" w:rsidR="00A41870" w:rsidRDefault="00A4187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080EE2F" w14:textId="77777777" w:rsidR="00A41870" w:rsidRDefault="00B16F2E">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14:paraId="5D3E3B38" w14:textId="77777777" w:rsidR="00A41870" w:rsidRDefault="00B16F2E">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3772AB63" w14:textId="77777777" w:rsidR="00A41870" w:rsidRDefault="00B16F2E">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3C28A1A4" wp14:editId="7DCDED7C">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4525B8DA" w14:textId="77777777" w:rsidR="00A41870" w:rsidRDefault="00A41870">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D0A7" w14:textId="77777777" w:rsidR="00A41870" w:rsidRDefault="00A4187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EED6A37" w14:textId="77777777" w:rsidR="00A41870" w:rsidRPr="00C327CE" w:rsidRDefault="00B16F2E">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lang w:val="sv-SE"/>
      </w:rPr>
    </w:pPr>
    <w:r w:rsidRPr="00C327CE">
      <w:rPr>
        <w:rFonts w:ascii="Cambria" w:eastAsia="Cambria" w:hAnsi="Cambria" w:cs="Cambria"/>
        <w:i/>
        <w:color w:val="000000"/>
        <w:sz w:val="18"/>
        <w:szCs w:val="18"/>
        <w:lang w:val="sv-SE"/>
      </w:rPr>
      <w:t>Jurnal Dedikasi Pendidikan, Vo. X, No.X, Januari 20</w:t>
    </w:r>
    <w:r w:rsidRPr="00C327CE">
      <w:rPr>
        <w:rFonts w:ascii="Cambria" w:eastAsia="Cambria" w:hAnsi="Cambria" w:cs="Cambria"/>
        <w:i/>
        <w:sz w:val="18"/>
        <w:szCs w:val="18"/>
        <w:lang w:val="sv-SE"/>
      </w:rPr>
      <w:t>2X</w:t>
    </w:r>
    <w:r w:rsidRPr="00C327CE">
      <w:rPr>
        <w:rFonts w:ascii="Cambria" w:eastAsia="Cambria" w:hAnsi="Cambria" w:cs="Cambria"/>
        <w:i/>
        <w:color w:val="000000"/>
        <w:sz w:val="18"/>
        <w:szCs w:val="18"/>
        <w:lang w:val="sv-SE"/>
      </w:rPr>
      <w:t xml:space="preserve"> : X-XX </w:t>
    </w:r>
    <w:r>
      <w:rPr>
        <w:noProof/>
      </w:rPr>
      <mc:AlternateContent>
        <mc:Choice Requires="wpg">
          <w:drawing>
            <wp:anchor distT="0" distB="0" distL="114300" distR="114300" simplePos="0" relativeHeight="251658240" behindDoc="0" locked="0" layoutInCell="1" hidden="0" allowOverlap="1" wp14:anchorId="601CB73D" wp14:editId="48AE8F7A">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55048"/>
    <w:multiLevelType w:val="multilevel"/>
    <w:tmpl w:val="31C84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B85923"/>
    <w:multiLevelType w:val="multilevel"/>
    <w:tmpl w:val="CE1CA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7D14174"/>
    <w:multiLevelType w:val="multilevel"/>
    <w:tmpl w:val="69C8A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F871C5"/>
    <w:multiLevelType w:val="multilevel"/>
    <w:tmpl w:val="B816A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052BFB"/>
    <w:multiLevelType w:val="hybridMultilevel"/>
    <w:tmpl w:val="1A94E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5E30A15"/>
    <w:multiLevelType w:val="multilevel"/>
    <w:tmpl w:val="F08A92B2"/>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870"/>
    <w:rsid w:val="00352DE4"/>
    <w:rsid w:val="00554BBF"/>
    <w:rsid w:val="006D2852"/>
    <w:rsid w:val="007E7626"/>
    <w:rsid w:val="008F737D"/>
    <w:rsid w:val="00A15749"/>
    <w:rsid w:val="00A41870"/>
    <w:rsid w:val="00A9296B"/>
    <w:rsid w:val="00B16F2E"/>
    <w:rsid w:val="00C327CE"/>
    <w:rsid w:val="00E067C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E561E"/>
  <w15:docId w15:val="{E41ABAD3-1D83-4DCF-828F-C02428FA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table" w:styleId="PlainTable2">
    <w:name w:val="Plain Table 2"/>
    <w:basedOn w:val="TableNormal"/>
    <w:uiPriority w:val="42"/>
    <w:rsid w:val="00A15749"/>
    <w:pPr>
      <w:widowControl/>
      <w:ind w:firstLine="0"/>
      <w:jc w:val="left"/>
    </w:pPr>
    <w:rPr>
      <w:rFonts w:eastAsiaTheme="minorHAnsi" w:cstheme="minorBidi"/>
      <w:sz w:val="24"/>
      <w:szCs w:val="22"/>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3093</Words>
  <Characters>17631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7</cp:revision>
  <dcterms:created xsi:type="dcterms:W3CDTF">2018-01-31T03:51:00Z</dcterms:created>
  <dcterms:modified xsi:type="dcterms:W3CDTF">2025-09-29T13:18:00Z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