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38973" w14:textId="77777777" w:rsidR="00A41870" w:rsidRDefault="00A41870">
      <w:pPr>
        <w:pBdr>
          <w:top w:val="nil"/>
          <w:left w:val="nil"/>
          <w:bottom w:val="nil"/>
          <w:right w:val="nil"/>
          <w:between w:val="nil"/>
        </w:pBdr>
        <w:spacing w:line="276" w:lineRule="auto"/>
        <w:ind w:firstLine="0"/>
        <w:jc w:val="left"/>
      </w:pPr>
    </w:p>
    <w:p w14:paraId="307CF8BD" w14:textId="77777777" w:rsidR="00A41870" w:rsidRDefault="00B16F2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s">
            <w:drawing>
              <wp:anchor distT="0" distB="0" distL="114300" distR="114300" simplePos="0" relativeHeight="251658240" behindDoc="0" locked="0" layoutInCell="1" hidden="0" allowOverlap="1" wp14:anchorId="66783839" wp14:editId="2D11C0F8">
                <wp:simplePos x="0" y="0"/>
                <wp:positionH relativeFrom="column">
                  <wp:posOffset>76201</wp:posOffset>
                </wp:positionH>
                <wp:positionV relativeFrom="paragraph">
                  <wp:posOffset>-12699</wp:posOffset>
                </wp:positionV>
                <wp:extent cx="4839970" cy="907415"/>
                <wp:effectExtent l="0" t="0" r="0" b="0"/>
                <wp:wrapNone/>
                <wp:docPr id="311" name="Rectangle 311"/>
                <wp:cNvGraphicFramePr/>
                <a:graphic xmlns:a="http://schemas.openxmlformats.org/drawingml/2006/main">
                  <a:graphicData uri="http://schemas.microsoft.com/office/word/2010/wordprocessingShape">
                    <wps:wsp>
                      <wps:cNvSpPr/>
                      <wps:spPr>
                        <a:xfrm>
                          <a:off x="2930778" y="3331055"/>
                          <a:ext cx="4830445" cy="897890"/>
                        </a:xfrm>
                        <a:prstGeom prst="rect">
                          <a:avLst/>
                        </a:prstGeom>
                        <a:solidFill>
                          <a:srgbClr val="93B3D7"/>
                        </a:solidFill>
                        <a:ln>
                          <a:noFill/>
                        </a:ln>
                      </wps:spPr>
                      <wps:txbx>
                        <w:txbxContent>
                          <w:p w14:paraId="4BDACBD4" w14:textId="77777777" w:rsidR="00A41870" w:rsidRDefault="00B16F2E">
                            <w:pPr>
                              <w:jc w:val="center"/>
                              <w:textDirection w:val="btLr"/>
                            </w:pPr>
                            <w:r>
                              <w:rPr>
                                <w:rFonts w:eastAsia="Times New Roman"/>
                                <w:i/>
                                <w:color w:val="000000"/>
                              </w:rPr>
                              <w:t>Available online at http://jurnal.abulyatama.ac.id/dedikasi</w:t>
                            </w:r>
                          </w:p>
                          <w:p w14:paraId="23CA57CA" w14:textId="77777777" w:rsidR="00A41870" w:rsidRDefault="00B16F2E">
                            <w:pPr>
                              <w:jc w:val="center"/>
                              <w:textDirection w:val="btLr"/>
                            </w:pPr>
                            <w:r>
                              <w:rPr>
                                <w:rFonts w:eastAsia="Times New Roman"/>
                                <w:color w:val="000000"/>
                              </w:rPr>
                              <w:t xml:space="preserve">ISSN 2548-8848 (Online) </w:t>
                            </w:r>
                          </w:p>
                          <w:p w14:paraId="249696B5" w14:textId="77777777" w:rsidR="00A41870" w:rsidRDefault="00B16F2E">
                            <w:pPr>
                              <w:jc w:val="center"/>
                              <w:textDirection w:val="btLr"/>
                            </w:pPr>
                            <w:r>
                              <w:rPr>
                                <w:rFonts w:eastAsia="Times New Roman"/>
                                <w:b/>
                                <w:color w:val="000000"/>
                                <w:sz w:val="28"/>
                              </w:rPr>
                              <w:t>Universitas Abulyatama</w:t>
                            </w:r>
                          </w:p>
                          <w:p w14:paraId="40206BAE" w14:textId="77777777" w:rsidR="00A41870" w:rsidRDefault="00B16F2E">
                            <w:pPr>
                              <w:jc w:val="center"/>
                              <w:textDirection w:val="btLr"/>
                            </w:pPr>
                            <w:r>
                              <w:rPr>
                                <w:rFonts w:eastAsia="Times New Roman"/>
                                <w:b/>
                                <w:color w:val="000000"/>
                                <w:sz w:val="32"/>
                              </w:rPr>
                              <w:t xml:space="preserve">Jurnal Dedikasi Pendidikan </w:t>
                            </w:r>
                          </w:p>
                        </w:txbxContent>
                      </wps:txbx>
                      <wps:bodyPr spcFirstLastPara="1" wrap="square" lIns="91425" tIns="45700" rIns="91425" bIns="45700" anchor="t" anchorCtr="0">
                        <a:noAutofit/>
                      </wps:bodyPr>
                    </wps:wsp>
                  </a:graphicData>
                </a:graphic>
              </wp:anchor>
            </w:drawing>
          </mc:Choice>
          <mc:Fallback>
            <w:pict>
              <v:rect w14:anchorId="66783839" id="Rectangle 311" o:spid="_x0000_s1026" style="position:absolute;left:0;text-align:left;margin-left:6pt;margin-top:-1pt;width:381.1pt;height:71.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" fillcolor="#93b3d7" stroked="f">
                <v:textbox inset="2.53958mm,1.2694mm,2.53958mm,1.2694mm">
                  <w:txbxContent>
                    <w:p w14:paraId="4BDACBD4" w14:textId="77777777" w:rsidR="00A41870" w:rsidRDefault="00B16F2E">
                      <w:pPr>
                        <w:jc w:val="center"/>
                        <w:textDirection w:val="btLr"/>
                      </w:pPr>
                      <w:r>
                        <w:rPr>
                          <w:rFonts w:eastAsia="Times New Roman"/>
                          <w:i/>
                          <w:color w:val="000000"/>
                        </w:rPr>
                        <w:t>Available online at http://jurnal.abulyatama.ac.id/dedikasi</w:t>
                      </w:r>
                    </w:p>
                    <w:p w14:paraId="23CA57CA" w14:textId="77777777" w:rsidR="00A41870" w:rsidRDefault="00B16F2E">
                      <w:pPr>
                        <w:jc w:val="center"/>
                        <w:textDirection w:val="btLr"/>
                      </w:pPr>
                      <w:r>
                        <w:rPr>
                          <w:rFonts w:eastAsia="Times New Roman"/>
                          <w:color w:val="000000"/>
                        </w:rPr>
                        <w:t xml:space="preserve">ISSN 2548-8848 (Online) </w:t>
                      </w:r>
                    </w:p>
                    <w:p w14:paraId="249696B5" w14:textId="77777777" w:rsidR="00A41870" w:rsidRDefault="00B16F2E">
                      <w:pPr>
                        <w:jc w:val="center"/>
                        <w:textDirection w:val="btLr"/>
                      </w:pPr>
                      <w:r>
                        <w:rPr>
                          <w:rFonts w:eastAsia="Times New Roman"/>
                          <w:b/>
                          <w:color w:val="000000"/>
                          <w:sz w:val="28"/>
                        </w:rPr>
                        <w:t>Universitas Abulyatama</w:t>
                      </w:r>
                    </w:p>
                    <w:p w14:paraId="40206BAE" w14:textId="77777777" w:rsidR="00A41870" w:rsidRDefault="00B16F2E">
                      <w:pPr>
                        <w:jc w:val="center"/>
                        <w:textDirection w:val="btLr"/>
                      </w:pPr>
                      <w:r>
                        <w:rPr>
                          <w:rFonts w:eastAsia="Times New Roman"/>
                          <w:b/>
                          <w:color w:val="000000"/>
                          <w:sz w:val="32"/>
                        </w:rPr>
                        <w:t xml:space="preserve">Jurnal Dedikasi Pendidikan </w:t>
                      </w:r>
                    </w:p>
                  </w:txbxContent>
                </v:textbox>
              </v:rect>
            </w:pict>
          </mc:Fallback>
        </mc:AlternateContent>
      </w:r>
      <w:r>
        <w:rPr>
          <w:noProof/>
        </w:rPr>
        <w:drawing>
          <wp:anchor distT="0" distB="0" distL="114300" distR="114300" simplePos="0" relativeHeight="251659264" behindDoc="0" locked="0" layoutInCell="1" hidden="0" allowOverlap="1" wp14:anchorId="1D24B0E7" wp14:editId="23A35A59">
            <wp:simplePos x="0" y="0"/>
            <wp:positionH relativeFrom="column">
              <wp:posOffset>4968359</wp:posOffset>
            </wp:positionH>
            <wp:positionV relativeFrom="paragraph">
              <wp:posOffset>-70484</wp:posOffset>
            </wp:positionV>
            <wp:extent cx="684217" cy="955040"/>
            <wp:effectExtent l="0" t="0" r="0" b="0"/>
            <wp:wrapNone/>
            <wp:docPr id="316" name="image10.jpg" descr="E:\DATA LAPTOP HP\ABULYATAMA\FILE LPPM\JURNAL UNIVERSITAS\e jurnal dedikasi\vol 2 no 1 januari 2018\cover dedikasi januari 2017 (2 X).jpg"/>
            <wp:cNvGraphicFramePr/>
            <a:graphic xmlns:a="http://schemas.openxmlformats.org/drawingml/2006/main">
              <a:graphicData uri="http://schemas.openxmlformats.org/drawingml/2006/picture">
                <pic:pic xmlns:pic="http://schemas.openxmlformats.org/drawingml/2006/picture">
                  <pic:nvPicPr>
                    <pic:cNvPr id="0" name="image10.jpg" descr="E:\DATA LAPTOP HP\ABULYATAMA\FILE LPPM\JURNAL UNIVERSITAS\e jurnal dedikasi\vol 2 no 1 januari 2018\cover dedikasi januari 2017 (2 X).jpg"/>
                    <pic:cNvPicPr preferRelativeResize="0"/>
                  </pic:nvPicPr>
                  <pic:blipFill>
                    <a:blip r:embed="rId9"/>
                    <a:srcRect r="3792" b="3590"/>
                    <a:stretch>
                      <a:fillRect/>
                    </a:stretch>
                  </pic:blipFill>
                  <pic:spPr>
                    <a:xfrm>
                      <a:off x="0" y="0"/>
                      <a:ext cx="684217" cy="955040"/>
                    </a:xfrm>
                    <a:prstGeom prst="rect">
                      <a:avLst/>
                    </a:prstGeom>
                    <a:ln/>
                  </pic:spPr>
                </pic:pic>
              </a:graphicData>
            </a:graphic>
          </wp:anchor>
        </w:drawing>
      </w:r>
    </w:p>
    <w:p w14:paraId="455F3D15" w14:textId="77777777" w:rsidR="00A41870" w:rsidRDefault="00A41870">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p>
    <w:p w14:paraId="71B720F9" w14:textId="77777777" w:rsidR="00A41870" w:rsidRDefault="00B16F2E">
      <w:pPr>
        <w:widowControl/>
        <w:pBdr>
          <w:top w:val="nil"/>
          <w:left w:val="nil"/>
          <w:bottom w:val="none" w:sz="0" w:space="0" w:color="000000"/>
          <w:right w:val="nil"/>
          <w:between w:val="nil"/>
        </w:pBdr>
        <w:spacing w:before="240"/>
        <w:ind w:firstLine="0"/>
        <w:jc w:val="center"/>
        <w:rPr>
          <w:rFonts w:eastAsia="Times New Roman"/>
          <w:b/>
          <w:color w:val="000000"/>
          <w:sz w:val="32"/>
          <w:szCs w:val="32"/>
        </w:rPr>
      </w:pPr>
      <w:r>
        <w:rPr>
          <w:noProof/>
        </w:rPr>
        <mc:AlternateContent>
          <mc:Choice Requires="wpg">
            <w:drawing>
              <wp:anchor distT="0" distB="0" distL="114300" distR="114300" simplePos="0" relativeHeight="251660288" behindDoc="0" locked="0" layoutInCell="1" hidden="0" allowOverlap="1" wp14:anchorId="4CCDC64C" wp14:editId="0D3D33C5">
                <wp:simplePos x="0" y="0"/>
                <wp:positionH relativeFrom="column">
                  <wp:posOffset>88901</wp:posOffset>
                </wp:positionH>
                <wp:positionV relativeFrom="paragraph">
                  <wp:posOffset>292100</wp:posOffset>
                </wp:positionV>
                <wp:extent cx="5716534" cy="12700"/>
                <wp:effectExtent l="0" t="0" r="0" b="0"/>
                <wp:wrapNone/>
                <wp:docPr id="314" name="Straight Arrow Connector 314"/>
                <wp:cNvGraphicFramePr/>
                <a:graphic xmlns:a="http://schemas.openxmlformats.org/drawingml/2006/main">
                  <a:graphicData uri="http://schemas.microsoft.com/office/word/2010/wordprocessingShape">
                    <wps:wsp>
                      <wps:cNvCnPr/>
                      <wps:spPr>
                        <a:xfrm>
                          <a:off x="2487733" y="3780000"/>
                          <a:ext cx="5716534"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292100</wp:posOffset>
                </wp:positionV>
                <wp:extent cx="5716534" cy="12700"/>
                <wp:effectExtent b="0" l="0" r="0" t="0"/>
                <wp:wrapNone/>
                <wp:docPr id="314" name="image9.png"/>
                <a:graphic>
                  <a:graphicData uri="http://schemas.openxmlformats.org/drawingml/2006/picture">
                    <pic:pic>
                      <pic:nvPicPr>
                        <pic:cNvPr id="0" name="image9.png"/>
                        <pic:cNvPicPr preferRelativeResize="0"/>
                      </pic:nvPicPr>
                      <pic:blipFill>
                        <a:blip r:embed="rId11"/>
                        <a:srcRect/>
                        <a:stretch>
                          <a:fillRect/>
                        </a:stretch>
                      </pic:blipFill>
                      <pic:spPr>
                        <a:xfrm>
                          <a:off x="0" y="0"/>
                          <a:ext cx="5716534" cy="12700"/>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7FF7BE17" wp14:editId="5E447B07">
                <wp:simplePos x="0" y="0"/>
                <wp:positionH relativeFrom="column">
                  <wp:posOffset>88901</wp:posOffset>
                </wp:positionH>
                <wp:positionV relativeFrom="paragraph">
                  <wp:posOffset>330200</wp:posOffset>
                </wp:positionV>
                <wp:extent cx="5716270" cy="19050"/>
                <wp:effectExtent l="0" t="0" r="0" b="0"/>
                <wp:wrapNone/>
                <wp:docPr id="309" name="Straight Arrow Connector 309"/>
                <wp:cNvGraphicFramePr/>
                <a:graphic xmlns:a="http://schemas.openxmlformats.org/drawingml/2006/main">
                  <a:graphicData uri="http://schemas.microsoft.com/office/word/2010/wordprocessingShape">
                    <wps:wsp>
                      <wps:cNvCnPr/>
                      <wps:spPr>
                        <a:xfrm>
                          <a:off x="2487865" y="3780000"/>
                          <a:ext cx="5716270" cy="0"/>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330200</wp:posOffset>
                </wp:positionV>
                <wp:extent cx="5716270" cy="19050"/>
                <wp:effectExtent b="0" l="0" r="0" t="0"/>
                <wp:wrapNone/>
                <wp:docPr id="309"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5716270" cy="19050"/>
                        </a:xfrm>
                        <a:prstGeom prst="rect"/>
                        <a:ln/>
                      </pic:spPr>
                    </pic:pic>
                  </a:graphicData>
                </a:graphic>
              </wp:anchor>
            </w:drawing>
          </mc:Fallback>
        </mc:AlternateContent>
      </w:r>
    </w:p>
    <w:p w14:paraId="73A3D4FE" w14:textId="77777777" w:rsidR="00C327CE" w:rsidRDefault="00B16F2E" w:rsidP="00C327CE">
      <w:pPr>
        <w:jc w:val="center"/>
        <w:outlineLvl w:val="1"/>
        <w:rPr>
          <w:rFonts w:asciiTheme="majorBidi" w:eastAsia="Times New Roman" w:hAnsiTheme="majorBidi" w:cstheme="majorBidi"/>
          <w:b/>
          <w:bCs/>
          <w:szCs w:val="24"/>
          <w:lang w:val="sv-SE"/>
        </w:rPr>
      </w:pPr>
      <w:bookmarkStart w:id="0" w:name="_heading=h.gjdgxs" w:colFirst="0" w:colLast="0"/>
      <w:bookmarkEnd w:id="0"/>
      <w:r>
        <w:rPr>
          <w:rFonts w:eastAsia="Times New Roman"/>
          <w:b/>
          <w:color w:val="000000"/>
          <w:sz w:val="32"/>
          <w:szCs w:val="32"/>
        </w:rPr>
        <w:tab/>
      </w:r>
      <w:r w:rsidR="00C327CE" w:rsidRPr="000A69E2">
        <w:rPr>
          <w:rFonts w:asciiTheme="majorBidi" w:eastAsia="Times New Roman" w:hAnsiTheme="majorBidi" w:cstheme="majorBidi"/>
          <w:b/>
          <w:bCs/>
          <w:szCs w:val="24"/>
          <w:lang w:val="sv-SE"/>
        </w:rPr>
        <w:t xml:space="preserve">DAMPAK AKREDITASI DAYAH OLEH BADAN AKREDITASI DAYAH </w:t>
      </w:r>
    </w:p>
    <w:p w14:paraId="5019677C" w14:textId="4E537B09" w:rsidR="00C327CE" w:rsidRPr="000A69E2" w:rsidRDefault="00C327CE" w:rsidP="00C327CE">
      <w:pPr>
        <w:jc w:val="center"/>
        <w:outlineLvl w:val="1"/>
        <w:rPr>
          <w:rFonts w:asciiTheme="majorBidi" w:eastAsia="Times New Roman" w:hAnsiTheme="majorBidi" w:cstheme="majorBidi"/>
          <w:b/>
          <w:bCs/>
          <w:szCs w:val="24"/>
          <w:lang w:val="sv-SE"/>
        </w:rPr>
      </w:pPr>
      <w:r w:rsidRPr="000A69E2">
        <w:rPr>
          <w:rFonts w:asciiTheme="majorBidi" w:eastAsia="Times New Roman" w:hAnsiTheme="majorBidi" w:cstheme="majorBidi"/>
          <w:b/>
          <w:bCs/>
          <w:szCs w:val="24"/>
          <w:lang w:val="sv-SE"/>
        </w:rPr>
        <w:t xml:space="preserve">ACEH DALAM MENINGKATKAN KUALITAS PEMBELAJARAN </w:t>
      </w:r>
    </w:p>
    <w:p w14:paraId="5DE2513D" w14:textId="77777777" w:rsidR="00C327CE" w:rsidRDefault="00C327CE" w:rsidP="00C327CE">
      <w:pPr>
        <w:jc w:val="center"/>
        <w:outlineLvl w:val="1"/>
        <w:rPr>
          <w:rFonts w:asciiTheme="majorBidi" w:eastAsia="Times New Roman" w:hAnsiTheme="majorBidi" w:cstheme="majorBidi"/>
          <w:b/>
          <w:bCs/>
          <w:szCs w:val="24"/>
          <w:lang w:val="sv-SE"/>
        </w:rPr>
      </w:pPr>
      <w:r w:rsidRPr="000A69E2">
        <w:rPr>
          <w:rFonts w:asciiTheme="majorBidi" w:eastAsia="Times New Roman" w:hAnsiTheme="majorBidi" w:cstheme="majorBidi"/>
          <w:b/>
          <w:bCs/>
          <w:szCs w:val="24"/>
          <w:lang w:val="sv-SE"/>
        </w:rPr>
        <w:t xml:space="preserve">KITAB KUNING (TURĀṠ) PADA LEMBAGA </w:t>
      </w:r>
      <w:r>
        <w:rPr>
          <w:rFonts w:asciiTheme="majorBidi" w:eastAsia="Times New Roman" w:hAnsiTheme="majorBidi" w:cstheme="majorBidi"/>
          <w:b/>
          <w:bCs/>
          <w:szCs w:val="24"/>
          <w:lang w:val="sv-SE"/>
        </w:rPr>
        <w:t xml:space="preserve"> </w:t>
      </w:r>
    </w:p>
    <w:p w14:paraId="1978E233" w14:textId="1EEF5025" w:rsidR="00A41870" w:rsidRPr="00C327CE" w:rsidRDefault="00C327CE" w:rsidP="00C327CE">
      <w:pPr>
        <w:jc w:val="center"/>
        <w:outlineLvl w:val="1"/>
        <w:rPr>
          <w:rFonts w:asciiTheme="majorBidi" w:eastAsia="Times New Roman" w:hAnsiTheme="majorBidi" w:cstheme="majorBidi"/>
          <w:b/>
          <w:bCs/>
          <w:szCs w:val="24"/>
          <w:lang w:val="sv-SE"/>
        </w:rPr>
      </w:pPr>
      <w:r w:rsidRPr="000A69E2">
        <w:rPr>
          <w:rFonts w:asciiTheme="majorBidi" w:eastAsia="Times New Roman" w:hAnsiTheme="majorBidi" w:cstheme="majorBidi"/>
          <w:b/>
          <w:bCs/>
          <w:szCs w:val="24"/>
          <w:lang w:val="sv-SE"/>
        </w:rPr>
        <w:t>PENDIDIKAN DAYAH DI ACEH</w:t>
      </w:r>
      <w:r w:rsidR="00B16F2E" w:rsidRPr="00C327CE">
        <w:rPr>
          <w:rFonts w:eastAsia="Times New Roman"/>
          <w:b/>
          <w:color w:val="000000"/>
          <w:sz w:val="32"/>
          <w:szCs w:val="32"/>
          <w:lang w:val="sv-SE"/>
        </w:rPr>
        <w:tab/>
      </w:r>
    </w:p>
    <w:p w14:paraId="4D8A8E2D" w14:textId="59CF7D75" w:rsidR="00A41870" w:rsidRPr="008574BE" w:rsidRDefault="00554BBF">
      <w:pPr>
        <w:pBdr>
          <w:top w:val="nil"/>
          <w:left w:val="nil"/>
          <w:bottom w:val="nil"/>
          <w:right w:val="nil"/>
          <w:between w:val="nil"/>
        </w:pBdr>
        <w:spacing w:before="480" w:after="60"/>
        <w:ind w:firstLine="28"/>
        <w:jc w:val="center"/>
        <w:rPr>
          <w:rFonts w:eastAsia="Times New Roman"/>
          <w:b/>
          <w:color w:val="000000"/>
          <w:sz w:val="22"/>
          <w:szCs w:val="22"/>
          <w:lang w:val="sv-SE"/>
        </w:rPr>
      </w:pPr>
      <w:r w:rsidRPr="00352DE4">
        <w:rPr>
          <w:rFonts w:eastAsia="Times New Roman"/>
          <w:b/>
          <w:color w:val="000000"/>
          <w:sz w:val="22"/>
          <w:szCs w:val="22"/>
          <w:lang w:val="sv-SE"/>
        </w:rPr>
        <w:t>Adnin AS</w:t>
      </w:r>
      <w:r w:rsidR="00B16F2E" w:rsidRPr="00352DE4">
        <w:rPr>
          <w:rFonts w:eastAsia="Times New Roman"/>
          <w:b/>
          <w:color w:val="000000"/>
          <w:sz w:val="22"/>
          <w:szCs w:val="22"/>
          <w:vertAlign w:val="superscript"/>
          <w:lang w:val="sv-SE"/>
        </w:rPr>
        <w:t>1*</w:t>
      </w:r>
      <w:r w:rsidR="00B16F2E" w:rsidRPr="00352DE4">
        <w:rPr>
          <w:rFonts w:eastAsia="Times New Roman"/>
          <w:b/>
          <w:color w:val="000000"/>
          <w:sz w:val="22"/>
          <w:szCs w:val="22"/>
          <w:lang w:val="sv-SE"/>
        </w:rPr>
        <w:t xml:space="preserve">, </w:t>
      </w:r>
      <w:r w:rsidR="00352DE4" w:rsidRPr="00352DE4">
        <w:rPr>
          <w:rFonts w:eastAsia="Times New Roman"/>
          <w:b/>
          <w:color w:val="000000"/>
          <w:sz w:val="22"/>
          <w:szCs w:val="22"/>
          <w:lang w:val="sv-SE"/>
        </w:rPr>
        <w:t>Jaisar Raju</w:t>
      </w:r>
      <w:r w:rsidR="00B16F2E" w:rsidRPr="00352DE4">
        <w:rPr>
          <w:rFonts w:eastAsia="Times New Roman"/>
          <w:b/>
          <w:color w:val="000000"/>
          <w:sz w:val="22"/>
          <w:szCs w:val="22"/>
          <w:vertAlign w:val="superscript"/>
          <w:lang w:val="sv-SE"/>
        </w:rPr>
        <w:t>2</w:t>
      </w:r>
      <w:r w:rsidR="00352DE4" w:rsidRPr="00352DE4">
        <w:rPr>
          <w:rFonts w:eastAsia="Times New Roman"/>
          <w:b/>
          <w:color w:val="000000"/>
          <w:sz w:val="22"/>
          <w:szCs w:val="22"/>
          <w:lang w:val="sv-SE"/>
        </w:rPr>
        <w:t>, Indah Fitriani</w:t>
      </w:r>
      <w:r w:rsidR="00352DE4" w:rsidRPr="00352DE4">
        <w:rPr>
          <w:rFonts w:eastAsia="Times New Roman"/>
          <w:b/>
          <w:color w:val="000000"/>
          <w:sz w:val="22"/>
          <w:szCs w:val="22"/>
          <w:vertAlign w:val="superscript"/>
          <w:lang w:val="sv-SE"/>
        </w:rPr>
        <w:t>3</w:t>
      </w:r>
      <w:r w:rsidR="008574BE">
        <w:rPr>
          <w:rFonts w:eastAsia="Times New Roman"/>
          <w:b/>
          <w:color w:val="000000"/>
          <w:sz w:val="22"/>
          <w:szCs w:val="22"/>
          <w:lang w:val="sv-SE"/>
        </w:rPr>
        <w:t>, Jasmadi</w:t>
      </w:r>
      <w:r w:rsidR="008574BE" w:rsidRPr="008574BE">
        <w:rPr>
          <w:rFonts w:eastAsia="Times New Roman"/>
          <w:b/>
          <w:color w:val="000000"/>
          <w:sz w:val="22"/>
          <w:szCs w:val="22"/>
          <w:vertAlign w:val="superscript"/>
          <w:lang w:val="sv-SE"/>
        </w:rPr>
        <w:t>4</w:t>
      </w:r>
    </w:p>
    <w:p w14:paraId="577D3168" w14:textId="71CF0FBD" w:rsidR="00A41870" w:rsidRPr="00352DE4" w:rsidRDefault="00B16F2E" w:rsidP="00352DE4">
      <w:pPr>
        <w:jc w:val="left"/>
        <w:rPr>
          <w:rFonts w:asciiTheme="majorBidi" w:eastAsia="Times New Roman" w:hAnsiTheme="majorBidi" w:cstheme="majorBidi"/>
          <w:szCs w:val="24"/>
          <w:lang w:val="sv-SE" w:eastAsia="id-ID"/>
        </w:rPr>
      </w:pPr>
      <w:r w:rsidRPr="00C327CE">
        <w:rPr>
          <w:rFonts w:eastAsia="Times New Roman"/>
          <w:color w:val="000000"/>
          <w:sz w:val="22"/>
          <w:szCs w:val="22"/>
          <w:vertAlign w:val="superscript"/>
          <w:lang w:val="sv-SE"/>
        </w:rPr>
        <w:t>1</w:t>
      </w:r>
      <w:r w:rsidR="00352DE4" w:rsidRPr="000A69E2">
        <w:rPr>
          <w:rFonts w:asciiTheme="majorBidi" w:eastAsia="Times New Roman" w:hAnsiTheme="majorBidi" w:cstheme="majorBidi"/>
          <w:szCs w:val="24"/>
          <w:lang w:val="sv-SE" w:eastAsia="id-ID"/>
        </w:rPr>
        <w:t>Dosen pada Universitas Al Washliyah Darussalam Banda Aceh, Banda Aceh</w:t>
      </w:r>
    </w:p>
    <w:p w14:paraId="2AF3D996" w14:textId="7203910C" w:rsidR="00352DE4" w:rsidRDefault="00B16F2E" w:rsidP="00352DE4">
      <w:pPr>
        <w:jc w:val="left"/>
        <w:rPr>
          <w:rFonts w:asciiTheme="majorBidi" w:eastAsia="Times New Roman" w:hAnsiTheme="majorBidi" w:cstheme="majorBidi"/>
          <w:szCs w:val="24"/>
          <w:lang w:val="sv-SE" w:eastAsia="id-ID"/>
        </w:rPr>
      </w:pPr>
      <w:r w:rsidRPr="00C327CE">
        <w:rPr>
          <w:rFonts w:eastAsia="Times New Roman"/>
          <w:color w:val="000000"/>
          <w:sz w:val="22"/>
          <w:szCs w:val="22"/>
          <w:vertAlign w:val="superscript"/>
          <w:lang w:val="sv-SE"/>
        </w:rPr>
        <w:t>2</w:t>
      </w:r>
      <w:r w:rsidR="00352DE4" w:rsidRPr="00352DE4">
        <w:rPr>
          <w:rFonts w:asciiTheme="majorBidi" w:eastAsia="Times New Roman" w:hAnsiTheme="majorBidi" w:cstheme="majorBidi"/>
          <w:szCs w:val="24"/>
          <w:lang w:val="sv-SE" w:eastAsia="id-ID"/>
        </w:rPr>
        <w:t xml:space="preserve"> </w:t>
      </w:r>
      <w:r w:rsidR="00352DE4" w:rsidRPr="000A69E2">
        <w:rPr>
          <w:rFonts w:asciiTheme="majorBidi" w:eastAsia="Times New Roman" w:hAnsiTheme="majorBidi" w:cstheme="majorBidi"/>
          <w:szCs w:val="24"/>
          <w:lang w:val="sv-SE" w:eastAsia="id-ID"/>
        </w:rPr>
        <w:t>Dosen pada Universitas Al Washliyah Darussalam Banda Aceh, Banda Aceh</w:t>
      </w:r>
    </w:p>
    <w:p w14:paraId="74853F02" w14:textId="089EF4F1" w:rsidR="008574BE" w:rsidRPr="00352DE4" w:rsidRDefault="008574BE" w:rsidP="008574BE">
      <w:pPr>
        <w:jc w:val="left"/>
        <w:rPr>
          <w:rFonts w:asciiTheme="majorBidi" w:eastAsia="Times New Roman" w:hAnsiTheme="majorBidi" w:cstheme="majorBidi"/>
          <w:szCs w:val="24"/>
          <w:lang w:val="sv-SE" w:eastAsia="id-ID"/>
        </w:rPr>
      </w:pPr>
      <w:r>
        <w:rPr>
          <w:rFonts w:eastAsia="Times New Roman"/>
          <w:color w:val="000000"/>
          <w:sz w:val="22"/>
          <w:szCs w:val="22"/>
          <w:vertAlign w:val="superscript"/>
          <w:lang w:val="sv-SE"/>
        </w:rPr>
        <w:t>3</w:t>
      </w:r>
      <w:r w:rsidRPr="00352DE4">
        <w:rPr>
          <w:rFonts w:asciiTheme="majorBidi" w:eastAsia="Times New Roman" w:hAnsiTheme="majorBidi" w:cstheme="majorBidi"/>
          <w:szCs w:val="24"/>
          <w:lang w:val="sv-SE" w:eastAsia="id-ID"/>
        </w:rPr>
        <w:t xml:space="preserve"> </w:t>
      </w:r>
      <w:r>
        <w:rPr>
          <w:rFonts w:asciiTheme="majorBidi" w:eastAsia="Times New Roman" w:hAnsiTheme="majorBidi" w:cstheme="majorBidi"/>
          <w:szCs w:val="24"/>
          <w:lang w:val="sv-SE" w:eastAsia="id-ID"/>
        </w:rPr>
        <w:t xml:space="preserve">Mahasiswa </w:t>
      </w:r>
      <w:r w:rsidRPr="000A69E2">
        <w:rPr>
          <w:rFonts w:asciiTheme="majorBidi" w:eastAsia="Times New Roman" w:hAnsiTheme="majorBidi" w:cstheme="majorBidi"/>
          <w:szCs w:val="24"/>
          <w:lang w:val="sv-SE" w:eastAsia="id-ID"/>
        </w:rPr>
        <w:t>pada Universitas Al Washliyah Darussalam Banda Aceh, Banda Aceh</w:t>
      </w:r>
    </w:p>
    <w:p w14:paraId="0DE064BC" w14:textId="34792C56" w:rsidR="008574BE" w:rsidRPr="00352DE4" w:rsidRDefault="00412CBD" w:rsidP="008574BE">
      <w:pPr>
        <w:jc w:val="left"/>
        <w:rPr>
          <w:rFonts w:asciiTheme="majorBidi" w:eastAsia="Times New Roman" w:hAnsiTheme="majorBidi" w:cstheme="majorBidi"/>
          <w:szCs w:val="24"/>
          <w:lang w:val="sv-SE" w:eastAsia="id-ID"/>
        </w:rPr>
      </w:pPr>
      <w:r>
        <w:rPr>
          <w:rFonts w:eastAsia="Times New Roman"/>
          <w:color w:val="000000"/>
          <w:sz w:val="22"/>
          <w:szCs w:val="22"/>
          <w:vertAlign w:val="superscript"/>
          <w:lang w:val="sv-SE"/>
        </w:rPr>
        <w:t>4</w:t>
      </w:r>
      <w:r w:rsidR="008574BE" w:rsidRPr="00352DE4">
        <w:rPr>
          <w:rFonts w:asciiTheme="majorBidi" w:eastAsia="Times New Roman" w:hAnsiTheme="majorBidi" w:cstheme="majorBidi"/>
          <w:szCs w:val="24"/>
          <w:lang w:val="sv-SE" w:eastAsia="id-ID"/>
        </w:rPr>
        <w:t xml:space="preserve"> </w:t>
      </w:r>
      <w:r w:rsidR="008574BE" w:rsidRPr="000A69E2">
        <w:rPr>
          <w:rFonts w:asciiTheme="majorBidi" w:eastAsia="Times New Roman" w:hAnsiTheme="majorBidi" w:cstheme="majorBidi"/>
          <w:szCs w:val="24"/>
          <w:lang w:val="sv-SE" w:eastAsia="id-ID"/>
        </w:rPr>
        <w:t>Dosen pada Universitas Al Washliyah Darussalam Banda Aceh, Banda Aceh</w:t>
      </w:r>
    </w:p>
    <w:p w14:paraId="5DDB09DC" w14:textId="624F6325" w:rsidR="00A41870" w:rsidRDefault="00B16F2E" w:rsidP="00352DE4">
      <w:pPr>
        <w:pBdr>
          <w:top w:val="nil"/>
          <w:left w:val="nil"/>
          <w:bottom w:val="nil"/>
          <w:right w:val="nil"/>
          <w:between w:val="nil"/>
        </w:pBdr>
        <w:tabs>
          <w:tab w:val="center" w:pos="4320"/>
          <w:tab w:val="right" w:pos="8640"/>
        </w:tabs>
        <w:ind w:right="360"/>
        <w:jc w:val="left"/>
        <w:rPr>
          <w:rFonts w:eastAsia="Times New Roman"/>
          <w:color w:val="000000"/>
          <w:sz w:val="22"/>
          <w:szCs w:val="22"/>
          <w:vertAlign w:val="superscript"/>
        </w:rPr>
      </w:pPr>
      <w:r>
        <w:rPr>
          <w:rFonts w:eastAsia="Times New Roman"/>
          <w:color w:val="000000"/>
          <w:sz w:val="22"/>
          <w:szCs w:val="22"/>
        </w:rPr>
        <w:t xml:space="preserve">*Email korespondensi : </w:t>
      </w:r>
      <w:r w:rsidR="00352DE4">
        <w:rPr>
          <w:rFonts w:eastAsia="Times New Roman"/>
          <w:color w:val="000000"/>
          <w:sz w:val="22"/>
          <w:szCs w:val="22"/>
        </w:rPr>
        <w:t>adninas</w:t>
      </w:r>
      <w:r>
        <w:rPr>
          <w:rFonts w:eastAsia="Times New Roman"/>
          <w:color w:val="000000"/>
          <w:sz w:val="22"/>
          <w:szCs w:val="22"/>
        </w:rPr>
        <w:t>@</w:t>
      </w:r>
      <w:r w:rsidR="00352DE4">
        <w:rPr>
          <w:rFonts w:eastAsia="Times New Roman"/>
          <w:color w:val="000000"/>
          <w:sz w:val="22"/>
          <w:szCs w:val="22"/>
        </w:rPr>
        <w:t>unadabna</w:t>
      </w:r>
      <w:r>
        <w:rPr>
          <w:rFonts w:eastAsia="Times New Roman"/>
          <w:color w:val="000000"/>
          <w:sz w:val="22"/>
          <w:szCs w:val="22"/>
        </w:rPr>
        <w:t>.ac.id</w:t>
      </w:r>
      <w:r>
        <w:rPr>
          <w:rFonts w:eastAsia="Times New Roman"/>
          <w:color w:val="000000"/>
          <w:sz w:val="22"/>
          <w:szCs w:val="22"/>
          <w:vertAlign w:val="superscript"/>
        </w:rPr>
        <w:t>1</w:t>
      </w:r>
    </w:p>
    <w:p w14:paraId="37161B42" w14:textId="77777777" w:rsidR="00A41870" w:rsidRDefault="00A41870">
      <w:pPr>
        <w:pBdr>
          <w:top w:val="nil"/>
          <w:left w:val="nil"/>
          <w:bottom w:val="nil"/>
          <w:right w:val="nil"/>
          <w:between w:val="nil"/>
        </w:pBdr>
        <w:tabs>
          <w:tab w:val="center" w:pos="4320"/>
          <w:tab w:val="right" w:pos="8640"/>
        </w:tabs>
        <w:ind w:right="360"/>
        <w:jc w:val="left"/>
        <w:rPr>
          <w:rFonts w:eastAsia="Times New Roman"/>
          <w:color w:val="000000"/>
          <w:sz w:val="22"/>
          <w:szCs w:val="22"/>
        </w:rPr>
      </w:pPr>
    </w:p>
    <w:p w14:paraId="662080C0" w14:textId="77777777" w:rsidR="00A41870" w:rsidRDefault="00B16F2E">
      <w:pPr>
        <w:pBdr>
          <w:top w:val="nil"/>
          <w:left w:val="nil"/>
          <w:bottom w:val="nil"/>
          <w:right w:val="nil"/>
          <w:between w:val="nil"/>
        </w:pBdr>
        <w:tabs>
          <w:tab w:val="center" w:pos="4320"/>
          <w:tab w:val="right" w:pos="8640"/>
        </w:tabs>
        <w:ind w:right="360"/>
        <w:jc w:val="left"/>
        <w:rPr>
          <w:rFonts w:eastAsia="Times New Roman"/>
          <w:color w:val="000000"/>
          <w:sz w:val="18"/>
          <w:szCs w:val="18"/>
        </w:rPr>
      </w:pPr>
      <w:r>
        <w:rPr>
          <w:rFonts w:eastAsia="Times New Roman"/>
          <w:color w:val="000000"/>
          <w:sz w:val="18"/>
          <w:szCs w:val="18"/>
        </w:rPr>
        <w:t>Diterima xxxxx 20</w:t>
      </w:r>
      <w:r>
        <w:rPr>
          <w:sz w:val="18"/>
          <w:szCs w:val="18"/>
        </w:rPr>
        <w:t>2x</w:t>
      </w:r>
      <w:r>
        <w:rPr>
          <w:rFonts w:eastAsia="Times New Roman"/>
          <w:color w:val="000000"/>
          <w:sz w:val="18"/>
          <w:szCs w:val="18"/>
        </w:rPr>
        <w:t>; Disetujui xxxxxx 20</w:t>
      </w:r>
      <w:r>
        <w:rPr>
          <w:sz w:val="18"/>
          <w:szCs w:val="18"/>
        </w:rPr>
        <w:t>2x</w:t>
      </w:r>
      <w:r>
        <w:rPr>
          <w:rFonts w:eastAsia="Times New Roman"/>
          <w:color w:val="000000"/>
          <w:sz w:val="18"/>
          <w:szCs w:val="18"/>
        </w:rPr>
        <w:t>; Dipublikasi xx xxxxx 20</w:t>
      </w:r>
      <w:r>
        <w:rPr>
          <w:sz w:val="18"/>
          <w:szCs w:val="18"/>
        </w:rPr>
        <w:t>2x</w:t>
      </w:r>
      <w:r>
        <w:rPr>
          <w:noProof/>
        </w:rPr>
        <mc:AlternateContent>
          <mc:Choice Requires="wpg">
            <w:drawing>
              <wp:anchor distT="0" distB="0" distL="114300" distR="114300" simplePos="0" relativeHeight="251662336" behindDoc="0" locked="0" layoutInCell="1" hidden="0" allowOverlap="1" wp14:anchorId="0430B35B" wp14:editId="5B5D6E8B">
                <wp:simplePos x="0" y="0"/>
                <wp:positionH relativeFrom="column">
                  <wp:posOffset>88901</wp:posOffset>
                </wp:positionH>
                <wp:positionV relativeFrom="paragraph">
                  <wp:posOffset>0</wp:posOffset>
                </wp:positionV>
                <wp:extent cx="5629524"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a:off x="2531238" y="3780000"/>
                          <a:ext cx="5629524"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88901</wp:posOffset>
                </wp:positionH>
                <wp:positionV relativeFrom="paragraph">
                  <wp:posOffset>0</wp:posOffset>
                </wp:positionV>
                <wp:extent cx="5629524" cy="12700"/>
                <wp:effectExtent b="0" l="0" r="0" t="0"/>
                <wp:wrapNone/>
                <wp:docPr id="313"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5629524" cy="12700"/>
                        </a:xfrm>
                        <a:prstGeom prst="rect"/>
                        <a:ln/>
                      </pic:spPr>
                    </pic:pic>
                  </a:graphicData>
                </a:graphic>
              </wp:anchor>
            </w:drawing>
          </mc:Fallback>
        </mc:AlternateContent>
      </w:r>
    </w:p>
    <w:p w14:paraId="0745A52A" w14:textId="4539480A" w:rsidR="00A15749" w:rsidRPr="00A15749" w:rsidRDefault="00B16F2E" w:rsidP="00A15749">
      <w:pPr>
        <w:widowControl/>
        <w:pBdr>
          <w:top w:val="nil"/>
          <w:left w:val="nil"/>
          <w:bottom w:val="none" w:sz="0" w:space="0" w:color="000000"/>
          <w:right w:val="nil"/>
          <w:between w:val="nil"/>
        </w:pBdr>
        <w:spacing w:before="240" w:line="228" w:lineRule="auto"/>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sidR="00A15749" w:rsidRPr="008A7D87">
        <w:rPr>
          <w:rFonts w:eastAsia="Times New Roman"/>
          <w:i/>
          <w:iCs/>
          <w:szCs w:val="24"/>
          <w:lang w:val="id-ID" w:eastAsia="id-ID"/>
        </w:rPr>
        <w:t>Dayah, as a traditional Islamic educational institution in Aceh, plays a fundamental role in preserving the intellectual heritage of Islam through the teaching of classical texts (turāṡ). Nevertheless, the development of modern education systems requires measurable quality standards to ensure that dayah remains relevant and formally recognized. The main problem lies in the absence of a consistent quality assurance system, which raises concerns about the management, curriculum, and social legitimacy of dayah. The urgency of this study rests on the pressing need to ensure that the tradition of turāṡ learning not only survives but also develops in accordance with contemporary educational standards.</w:t>
      </w:r>
      <w:r w:rsidR="00A15749" w:rsidRPr="008A7D87">
        <w:rPr>
          <w:rFonts w:eastAsia="Times New Roman"/>
          <w:i/>
          <w:iCs/>
          <w:szCs w:val="24"/>
          <w:lang w:eastAsia="id-ID"/>
        </w:rPr>
        <w:t xml:space="preserve"> </w:t>
      </w:r>
      <w:r w:rsidR="00A15749" w:rsidRPr="008A7D87">
        <w:rPr>
          <w:rFonts w:eastAsia="Times New Roman"/>
          <w:i/>
          <w:iCs/>
          <w:szCs w:val="24"/>
          <w:lang w:val="id-ID" w:eastAsia="id-ID"/>
        </w:rPr>
        <w:t>This study aims to analyze the impact of accreditation carried out by the Aceh Dayah Accreditation Board (BADA) on improving the quality of turāṡ learning. Evidence indicates that accreditation has become a crucial instrument in curriculum restructuring, enhancing teacher professionalism, improving governance, and strengthening the social legitimacy of dayah within the community.</w:t>
      </w:r>
      <w:r w:rsidR="00A15749" w:rsidRPr="008A7D87">
        <w:rPr>
          <w:rFonts w:eastAsia="Times New Roman"/>
          <w:i/>
          <w:iCs/>
          <w:szCs w:val="24"/>
          <w:lang w:eastAsia="id-ID"/>
        </w:rPr>
        <w:t xml:space="preserve"> </w:t>
      </w:r>
      <w:r w:rsidR="00A15749" w:rsidRPr="008A7D87">
        <w:rPr>
          <w:rFonts w:eastAsia="Times New Roman"/>
          <w:i/>
          <w:iCs/>
          <w:szCs w:val="24"/>
          <w:lang w:val="id-ID" w:eastAsia="id-ID"/>
        </w:rPr>
        <w:t>The research employed a descriptive qualitative approach. Primary data were obtained through in-depth interviews with members of the Aceh Dayah Accreditation Council, dayah leaders, turāṡ teachers, and students. Secondary data were drawn from official BADA documents, government regulations on dayah curriculum, and relevant literature on Islamic education quality. Data analysis followed Miles and Huberman’s model, consisting of data reduction, data display, and conclusion drawing.</w:t>
      </w:r>
      <w:r w:rsidR="00A15749" w:rsidRPr="008A7D87">
        <w:rPr>
          <w:rFonts w:eastAsia="Times New Roman"/>
          <w:i/>
          <w:iCs/>
          <w:szCs w:val="24"/>
          <w:lang w:eastAsia="id-ID"/>
        </w:rPr>
        <w:t xml:space="preserve"> </w:t>
      </w:r>
      <w:r w:rsidR="00A15749" w:rsidRPr="008A7D87">
        <w:rPr>
          <w:rFonts w:eastAsia="Times New Roman"/>
          <w:i/>
          <w:iCs/>
          <w:szCs w:val="24"/>
          <w:lang w:val="id-ID" w:eastAsia="id-ID"/>
        </w:rPr>
        <w:t>The findings reveal that accreditation significantly influences the restructuring of turāṡ curriculum, the enhancement of teacher competence, the organization of student learning activities, the professionalization of dayah management, and the increase of public trust. Nevertheless, challenges remain, such as the limited number of assessors, administrative difficulties, and resistance from some dayah leaders.</w:t>
      </w:r>
      <w:r w:rsidR="00A15749" w:rsidRPr="008A7D87">
        <w:rPr>
          <w:rFonts w:eastAsia="Times New Roman"/>
          <w:i/>
          <w:iCs/>
          <w:szCs w:val="24"/>
          <w:lang w:eastAsia="id-ID"/>
        </w:rPr>
        <w:t xml:space="preserve"> </w:t>
      </w:r>
      <w:r w:rsidR="00A15749" w:rsidRPr="008A7D87">
        <w:rPr>
          <w:rFonts w:eastAsia="Times New Roman"/>
          <w:i/>
          <w:iCs/>
          <w:szCs w:val="24"/>
          <w:lang w:val="id-ID" w:eastAsia="id-ID"/>
        </w:rPr>
        <w:t>This study recommends strengthening mentoring programs, digitalizing the accreditation system, and developing more adaptive quality indicators for contemporary Islamic education. Thus, accreditation can function not only as an assessment instrument but also as a sustainable development mechanism that preserves tradition while enhancing the competitiveness of dayah in Aceh.</w:t>
      </w:r>
    </w:p>
    <w:p w14:paraId="3742D5D7" w14:textId="250ED620" w:rsidR="00A15749" w:rsidRPr="00A15749" w:rsidRDefault="00B16F2E" w:rsidP="00A15749">
      <w:pPr>
        <w:widowControl/>
        <w:pBdr>
          <w:top w:val="nil"/>
          <w:left w:val="nil"/>
          <w:bottom w:val="none" w:sz="0" w:space="0" w:color="000000"/>
          <w:right w:val="nil"/>
          <w:between w:val="nil"/>
        </w:pBdr>
        <w:spacing w:before="120" w:line="228" w:lineRule="auto"/>
        <w:ind w:left="1276" w:right="423" w:hanging="995"/>
        <w:rPr>
          <w:rFonts w:eastAsia="Times New Roman"/>
          <w:b/>
          <w:i/>
          <w:color w:val="000000"/>
        </w:rPr>
      </w:pPr>
      <w:r w:rsidRPr="00A15749">
        <w:rPr>
          <w:rFonts w:eastAsia="Times New Roman"/>
          <w:i/>
          <w:color w:val="000000"/>
        </w:rPr>
        <w:t xml:space="preserve">Keywords </w:t>
      </w:r>
      <w:r w:rsidRPr="00A15749">
        <w:rPr>
          <w:rFonts w:eastAsia="Times New Roman"/>
          <w:b/>
          <w:i/>
          <w:color w:val="000000"/>
        </w:rPr>
        <w:t xml:space="preserve">: </w:t>
      </w:r>
      <w:r w:rsidR="00A15749" w:rsidRPr="00A15749">
        <w:rPr>
          <w:rFonts w:eastAsia="Times New Roman"/>
          <w:b/>
          <w:bCs/>
          <w:i/>
          <w:iCs/>
          <w:szCs w:val="24"/>
          <w:lang w:val="id-ID" w:eastAsia="id-ID"/>
        </w:rPr>
        <w:t>Dayah accreditation</w:t>
      </w:r>
      <w:r w:rsidR="00A15749" w:rsidRPr="00A15749">
        <w:rPr>
          <w:rFonts w:eastAsia="Times New Roman"/>
          <w:b/>
          <w:bCs/>
          <w:i/>
          <w:iCs/>
          <w:szCs w:val="24"/>
          <w:lang w:eastAsia="id-ID"/>
        </w:rPr>
        <w:t xml:space="preserve">; </w:t>
      </w:r>
      <w:r w:rsidR="00A15749" w:rsidRPr="00A15749">
        <w:rPr>
          <w:rFonts w:eastAsia="Times New Roman"/>
          <w:b/>
          <w:bCs/>
          <w:i/>
          <w:iCs/>
          <w:szCs w:val="24"/>
          <w:lang w:val="id-ID" w:eastAsia="id-ID"/>
        </w:rPr>
        <w:t>turāṡ (classical Islamic texts)</w:t>
      </w:r>
      <w:r w:rsidR="00A15749" w:rsidRPr="00A15749">
        <w:rPr>
          <w:rFonts w:eastAsia="Times New Roman"/>
          <w:b/>
          <w:bCs/>
          <w:i/>
          <w:iCs/>
          <w:szCs w:val="24"/>
          <w:lang w:eastAsia="id-ID"/>
        </w:rPr>
        <w:t xml:space="preserve">; </w:t>
      </w:r>
      <w:r w:rsidR="00A15749" w:rsidRPr="00A15749">
        <w:rPr>
          <w:rFonts w:eastAsia="Times New Roman"/>
          <w:b/>
          <w:bCs/>
          <w:i/>
          <w:iCs/>
          <w:szCs w:val="24"/>
          <w:lang w:val="id-ID" w:eastAsia="id-ID"/>
        </w:rPr>
        <w:t>Aceh Dayah Accreditation Board</w:t>
      </w:r>
      <w:r w:rsidR="00A15749" w:rsidRPr="00A15749">
        <w:rPr>
          <w:rFonts w:eastAsia="Times New Roman"/>
          <w:b/>
          <w:bCs/>
          <w:i/>
          <w:iCs/>
          <w:szCs w:val="24"/>
          <w:lang w:eastAsia="id-ID"/>
        </w:rPr>
        <w:t xml:space="preserve">; </w:t>
      </w:r>
      <w:r w:rsidR="00A15749" w:rsidRPr="00A15749">
        <w:rPr>
          <w:rFonts w:eastAsia="Times New Roman"/>
          <w:b/>
          <w:bCs/>
          <w:i/>
          <w:iCs/>
          <w:szCs w:val="24"/>
          <w:lang w:val="id-ID" w:eastAsia="id-ID"/>
        </w:rPr>
        <w:t>Islamic education quality</w:t>
      </w:r>
      <w:r w:rsidR="00A15749" w:rsidRPr="00A15749">
        <w:rPr>
          <w:rFonts w:eastAsia="Times New Roman"/>
          <w:b/>
          <w:bCs/>
          <w:i/>
          <w:iCs/>
          <w:szCs w:val="24"/>
          <w:lang w:eastAsia="id-ID"/>
        </w:rPr>
        <w:t xml:space="preserve">; </w:t>
      </w:r>
      <w:r w:rsidR="00A15749" w:rsidRPr="00A15749">
        <w:rPr>
          <w:rFonts w:eastAsia="Times New Roman"/>
          <w:b/>
          <w:bCs/>
          <w:i/>
          <w:iCs/>
          <w:szCs w:val="24"/>
          <w:lang w:val="id-ID" w:eastAsia="id-ID"/>
        </w:rPr>
        <w:t>educational governance.</w:t>
      </w:r>
    </w:p>
    <w:p w14:paraId="19C4FDD1" w14:textId="1DBF7EB3" w:rsidR="00A15749" w:rsidRPr="00FC5DC3" w:rsidRDefault="00B16F2E" w:rsidP="00A15749">
      <w:pPr>
        <w:pBdr>
          <w:top w:val="nil"/>
          <w:left w:val="nil"/>
          <w:bottom w:val="nil"/>
          <w:right w:val="nil"/>
          <w:between w:val="nil"/>
        </w:pBdr>
        <w:spacing w:before="240"/>
        <w:ind w:left="284" w:right="-30" w:firstLine="0"/>
        <w:rPr>
          <w:rFonts w:eastAsia="Times New Roman"/>
          <w:color w:val="000000"/>
          <w:lang w:val="id-ID"/>
        </w:rPr>
      </w:pPr>
      <w:r w:rsidRPr="00C327CE">
        <w:rPr>
          <w:rFonts w:eastAsia="Times New Roman"/>
          <w:b/>
          <w:color w:val="000000"/>
          <w:lang w:val="sv-SE"/>
        </w:rPr>
        <w:t>Abstrak:</w:t>
      </w:r>
      <w:r w:rsidRPr="00C327CE">
        <w:rPr>
          <w:rFonts w:eastAsia="Times New Roman"/>
          <w:color w:val="000000"/>
          <w:lang w:val="sv-SE"/>
        </w:rPr>
        <w:t xml:space="preserve"> </w:t>
      </w:r>
      <w:r w:rsidR="00A15749" w:rsidRPr="005C0CCD">
        <w:rPr>
          <w:rFonts w:asciiTheme="majorBidi" w:eastAsia="Times New Roman" w:hAnsiTheme="majorBidi" w:cstheme="majorBidi"/>
          <w:szCs w:val="24"/>
          <w:lang w:val="id-ID" w:eastAsia="id-ID"/>
        </w:rPr>
        <w:t>Dayah sebagai lembaga pendidikan Islam tradisional di Aceh memiliki peran fundamental dalam menjaga warisan intelektual Islam melalui pembelajaran kitab kuning (</w:t>
      </w:r>
      <w:r w:rsidR="00A15749" w:rsidRPr="005C0CCD">
        <w:rPr>
          <w:rFonts w:asciiTheme="majorBidi" w:eastAsia="Times New Roman" w:hAnsiTheme="majorBidi" w:cstheme="majorBidi"/>
          <w:i/>
          <w:iCs/>
          <w:szCs w:val="24"/>
          <w:lang w:val="id-ID" w:eastAsia="id-ID"/>
        </w:rPr>
        <w:t>turāṡ</w:t>
      </w:r>
      <w:r w:rsidR="00A15749" w:rsidRPr="005C0CCD">
        <w:rPr>
          <w:rFonts w:asciiTheme="majorBidi" w:eastAsia="Times New Roman" w:hAnsiTheme="majorBidi" w:cstheme="majorBidi"/>
          <w:szCs w:val="24"/>
          <w:lang w:val="id-ID" w:eastAsia="id-ID"/>
        </w:rPr>
        <w:t xml:space="preserve">). Meski demikian, perkembangan sistem pendidikan modern menuntut adanya standar mutu yang terukur agar keberadaan dayah tetap relevan dan diakui secara formal. </w:t>
      </w:r>
      <w:r w:rsidR="00A15749" w:rsidRPr="008A7D87">
        <w:rPr>
          <w:rFonts w:asciiTheme="majorBidi" w:eastAsia="Times New Roman" w:hAnsiTheme="majorBidi" w:cstheme="majorBidi"/>
          <w:szCs w:val="24"/>
          <w:lang w:val="id-ID" w:eastAsia="id-ID"/>
        </w:rPr>
        <w:t xml:space="preserve">Adapun permasalah </w:t>
      </w:r>
      <w:r w:rsidR="00A15749" w:rsidRPr="005C0CCD">
        <w:rPr>
          <w:rFonts w:asciiTheme="majorBidi" w:eastAsia="Times New Roman" w:hAnsiTheme="majorBidi" w:cstheme="majorBidi"/>
          <w:szCs w:val="24"/>
          <w:lang w:val="id-ID" w:eastAsia="id-ID"/>
        </w:rPr>
        <w:t xml:space="preserve">yang muncul </w:t>
      </w:r>
      <w:r w:rsidR="00A15749" w:rsidRPr="008A7D87">
        <w:rPr>
          <w:rFonts w:asciiTheme="majorBidi" w:eastAsia="Times New Roman" w:hAnsiTheme="majorBidi" w:cstheme="majorBidi"/>
          <w:szCs w:val="24"/>
          <w:lang w:val="id-ID" w:eastAsia="id-ID"/>
        </w:rPr>
        <w:t xml:space="preserve">diantaranya yaitu </w:t>
      </w:r>
      <w:r w:rsidR="00A15749" w:rsidRPr="005C0CCD">
        <w:rPr>
          <w:rFonts w:asciiTheme="majorBidi" w:eastAsia="Times New Roman" w:hAnsiTheme="majorBidi" w:cstheme="majorBidi"/>
          <w:szCs w:val="24"/>
          <w:lang w:val="id-ID" w:eastAsia="id-ID"/>
        </w:rPr>
        <w:t xml:space="preserve">ketiadaan sistem penjaminan mutu yang konsisten, sehingga kualitas manajemen, kurikulum, dan legitimasi sosial dayah masih dipertanyakan. Urgensi penelitian ini terletak pada kebutuhan mendesak </w:t>
      </w:r>
      <w:r w:rsidR="00A15749" w:rsidRPr="008A7D87">
        <w:rPr>
          <w:rFonts w:asciiTheme="majorBidi" w:eastAsia="Times New Roman" w:hAnsiTheme="majorBidi" w:cstheme="majorBidi"/>
          <w:szCs w:val="24"/>
          <w:lang w:val="sv-SE" w:eastAsia="id-ID"/>
        </w:rPr>
        <w:t>se</w:t>
      </w:r>
      <w:r w:rsidR="00A15749">
        <w:rPr>
          <w:rFonts w:asciiTheme="majorBidi" w:eastAsia="Times New Roman" w:hAnsiTheme="majorBidi" w:cstheme="majorBidi"/>
          <w:szCs w:val="24"/>
          <w:lang w:val="sv-SE" w:eastAsia="id-ID"/>
        </w:rPr>
        <w:t xml:space="preserve">bagai </w:t>
      </w:r>
      <w:r w:rsidR="00A15749" w:rsidRPr="005C0CCD">
        <w:rPr>
          <w:rFonts w:asciiTheme="majorBidi" w:eastAsia="Times New Roman" w:hAnsiTheme="majorBidi" w:cstheme="majorBidi"/>
          <w:szCs w:val="24"/>
          <w:lang w:val="id-ID" w:eastAsia="id-ID"/>
        </w:rPr>
        <w:t xml:space="preserve">tradisi pembelajaran kitab kuning tidak hanya bertahan, </w:t>
      </w:r>
      <w:r w:rsidR="00A15749" w:rsidRPr="008A7D87">
        <w:rPr>
          <w:rFonts w:asciiTheme="majorBidi" w:eastAsia="Times New Roman" w:hAnsiTheme="majorBidi" w:cstheme="majorBidi"/>
          <w:szCs w:val="24"/>
          <w:lang w:val="sv-SE" w:eastAsia="id-ID"/>
        </w:rPr>
        <w:t>ak</w:t>
      </w:r>
      <w:r w:rsidR="00A15749">
        <w:rPr>
          <w:rFonts w:asciiTheme="majorBidi" w:eastAsia="Times New Roman" w:hAnsiTheme="majorBidi" w:cstheme="majorBidi"/>
          <w:szCs w:val="24"/>
          <w:lang w:val="sv-SE" w:eastAsia="id-ID"/>
        </w:rPr>
        <w:t xml:space="preserve">an </w:t>
      </w:r>
      <w:r w:rsidR="00A15749" w:rsidRPr="005C0CCD">
        <w:rPr>
          <w:rFonts w:asciiTheme="majorBidi" w:eastAsia="Times New Roman" w:hAnsiTheme="majorBidi" w:cstheme="majorBidi"/>
          <w:szCs w:val="24"/>
          <w:lang w:val="id-ID" w:eastAsia="id-ID"/>
        </w:rPr>
        <w:t>tetapi juga berkembang sesuai standar pendidikan kontemporer.</w:t>
      </w:r>
      <w:r w:rsidR="00A15749" w:rsidRPr="000A69E2">
        <w:rPr>
          <w:rFonts w:asciiTheme="majorBidi" w:eastAsia="Times New Roman" w:hAnsiTheme="majorBidi" w:cstheme="majorBidi"/>
          <w:szCs w:val="24"/>
          <w:lang w:val="sv-SE" w:eastAsia="id-ID"/>
        </w:rPr>
        <w:t xml:space="preserve"> </w:t>
      </w:r>
      <w:r w:rsidR="00A15749" w:rsidRPr="005C0CCD">
        <w:rPr>
          <w:rFonts w:asciiTheme="majorBidi" w:eastAsia="Times New Roman" w:hAnsiTheme="majorBidi" w:cstheme="majorBidi"/>
          <w:szCs w:val="24"/>
          <w:lang w:val="id-ID" w:eastAsia="id-ID"/>
        </w:rPr>
        <w:t xml:space="preserve">Penelitian ini bertujuan menganalisis dampak akreditasi yang dilakukan Badan Akreditasi Dayah Aceh (BADA) terhadap </w:t>
      </w:r>
      <w:r w:rsidR="00A15749" w:rsidRPr="005C0CCD">
        <w:rPr>
          <w:rFonts w:asciiTheme="majorBidi" w:eastAsia="Times New Roman" w:hAnsiTheme="majorBidi" w:cstheme="majorBidi"/>
          <w:szCs w:val="24"/>
          <w:lang w:val="id-ID" w:eastAsia="id-ID"/>
        </w:rPr>
        <w:lastRenderedPageBreak/>
        <w:t xml:space="preserve">peningkatan kualitas pembelajaran kitab kuning. </w:t>
      </w:r>
      <w:r w:rsidR="00A15749" w:rsidRPr="008A7D87">
        <w:rPr>
          <w:rFonts w:asciiTheme="majorBidi" w:eastAsia="Times New Roman" w:hAnsiTheme="majorBidi" w:cstheme="majorBidi"/>
          <w:szCs w:val="24"/>
          <w:lang w:val="id-ID" w:eastAsia="id-ID"/>
        </w:rPr>
        <w:t xml:space="preserve">Selain itu, </w:t>
      </w:r>
      <w:r w:rsidR="00A15749" w:rsidRPr="005C0CCD">
        <w:rPr>
          <w:rFonts w:asciiTheme="majorBidi" w:eastAsia="Times New Roman" w:hAnsiTheme="majorBidi" w:cstheme="majorBidi"/>
          <w:szCs w:val="24"/>
          <w:lang w:val="id-ID" w:eastAsia="id-ID"/>
        </w:rPr>
        <w:t>akreditasi menjadi salah satu instrumen penting dalam menata kurikulum, meningkatkan profesionalisme guru, memperbaiki tata kelola, serta memperkuat legitimasi sosial dayah di tengah masyarakat.</w:t>
      </w:r>
      <w:r w:rsidR="00A15749" w:rsidRPr="000A69E2">
        <w:rPr>
          <w:rFonts w:asciiTheme="majorBidi" w:eastAsia="Times New Roman" w:hAnsiTheme="majorBidi" w:cstheme="majorBidi"/>
          <w:szCs w:val="24"/>
          <w:lang w:val="id-ID" w:eastAsia="id-ID"/>
        </w:rPr>
        <w:t xml:space="preserve"> </w:t>
      </w:r>
      <w:r w:rsidR="00A15749" w:rsidRPr="005C0CCD">
        <w:rPr>
          <w:rFonts w:asciiTheme="majorBidi" w:eastAsia="Times New Roman" w:hAnsiTheme="majorBidi" w:cstheme="majorBidi"/>
          <w:szCs w:val="24"/>
          <w:lang w:val="id-ID" w:eastAsia="id-ID"/>
        </w:rPr>
        <w:t>Metode penelitian menggunakan pendekatan kualitatif deskriptif dengan data primer diperoleh melalui wawancara mendalam dengan anggota Majelis Akreditasi Dayah Aceh, pimpinan dayah, guru kitab kuning, dan santri. Data sekunder berasal dari dokumen resmi BADA, peraturan kurikulum dayah, serta literatur ilmiah terkait mutu pendidikan Islam. Analisis data dilakukan dengan model Miles dan Huberman, meliputi reduksi data, penyajian data, serta penarikan kesimpulan.</w:t>
      </w:r>
      <w:r w:rsidR="00A15749" w:rsidRPr="000A69E2">
        <w:rPr>
          <w:rFonts w:asciiTheme="majorBidi" w:eastAsia="Times New Roman" w:hAnsiTheme="majorBidi" w:cstheme="majorBidi"/>
          <w:szCs w:val="24"/>
          <w:lang w:val="sv-SE" w:eastAsia="id-ID"/>
        </w:rPr>
        <w:t xml:space="preserve"> </w:t>
      </w:r>
      <w:r w:rsidR="00A15749" w:rsidRPr="005C0CCD">
        <w:rPr>
          <w:rFonts w:asciiTheme="majorBidi" w:eastAsia="Times New Roman" w:hAnsiTheme="majorBidi" w:cstheme="majorBidi"/>
          <w:szCs w:val="24"/>
          <w:lang w:val="id-ID" w:eastAsia="id-ID"/>
        </w:rPr>
        <w:t xml:space="preserve">Hasil penelitian menunjukkan bahwa akreditasi berpengaruh signifikan terhadap penataan kurikulum kitab kuning, peningkatan kompetensi guru, keteraturan aktivitas belajar santri, profesionalisasi tata kelola dayah, serta meningkatnya kepercayaan masyarakat. </w:t>
      </w:r>
      <w:r w:rsidR="00A15749" w:rsidRPr="008A7D87">
        <w:rPr>
          <w:rFonts w:asciiTheme="majorBidi" w:eastAsia="Times New Roman" w:hAnsiTheme="majorBidi" w:cstheme="majorBidi"/>
          <w:szCs w:val="24"/>
          <w:lang w:val="sv-SE" w:eastAsia="id-ID"/>
        </w:rPr>
        <w:t>Se</w:t>
      </w:r>
      <w:r w:rsidR="00A15749">
        <w:rPr>
          <w:rFonts w:asciiTheme="majorBidi" w:eastAsia="Times New Roman" w:hAnsiTheme="majorBidi" w:cstheme="majorBidi"/>
          <w:szCs w:val="24"/>
          <w:lang w:val="sv-SE" w:eastAsia="id-ID"/>
        </w:rPr>
        <w:t>mentara itu,</w:t>
      </w:r>
      <w:r w:rsidR="00A15749" w:rsidRPr="005C0CCD">
        <w:rPr>
          <w:rFonts w:asciiTheme="majorBidi" w:eastAsia="Times New Roman" w:hAnsiTheme="majorBidi" w:cstheme="majorBidi"/>
          <w:szCs w:val="24"/>
          <w:lang w:val="id-ID" w:eastAsia="id-ID"/>
        </w:rPr>
        <w:t xml:space="preserve"> tantangan </w:t>
      </w:r>
      <w:r w:rsidR="00A15749" w:rsidRPr="008A7D87">
        <w:rPr>
          <w:rFonts w:asciiTheme="majorBidi" w:eastAsia="Times New Roman" w:hAnsiTheme="majorBidi" w:cstheme="majorBidi"/>
          <w:szCs w:val="24"/>
          <w:lang w:val="sv-SE" w:eastAsia="id-ID"/>
        </w:rPr>
        <w:t>ya</w:t>
      </w:r>
      <w:r w:rsidR="00A15749">
        <w:rPr>
          <w:rFonts w:asciiTheme="majorBidi" w:eastAsia="Times New Roman" w:hAnsiTheme="majorBidi" w:cstheme="majorBidi"/>
          <w:szCs w:val="24"/>
          <w:lang w:val="sv-SE" w:eastAsia="id-ID"/>
        </w:rPr>
        <w:t xml:space="preserve">ng </w:t>
      </w:r>
      <w:r w:rsidR="00A15749" w:rsidRPr="005C0CCD">
        <w:rPr>
          <w:rFonts w:asciiTheme="majorBidi" w:eastAsia="Times New Roman" w:hAnsiTheme="majorBidi" w:cstheme="majorBidi"/>
          <w:szCs w:val="24"/>
          <w:lang w:val="id-ID" w:eastAsia="id-ID"/>
        </w:rPr>
        <w:t>masih dihadapi</w:t>
      </w:r>
      <w:r w:rsidR="00A15749" w:rsidRPr="008A7D87">
        <w:rPr>
          <w:rFonts w:asciiTheme="majorBidi" w:eastAsia="Times New Roman" w:hAnsiTheme="majorBidi" w:cstheme="majorBidi"/>
          <w:szCs w:val="24"/>
          <w:lang w:val="sv-SE" w:eastAsia="id-ID"/>
        </w:rPr>
        <w:t xml:space="preserve"> </w:t>
      </w:r>
      <w:r w:rsidR="00A15749">
        <w:rPr>
          <w:rFonts w:asciiTheme="majorBidi" w:eastAsia="Times New Roman" w:hAnsiTheme="majorBidi" w:cstheme="majorBidi"/>
          <w:szCs w:val="24"/>
          <w:lang w:val="sv-SE" w:eastAsia="id-ID"/>
        </w:rPr>
        <w:t xml:space="preserve">ayitu </w:t>
      </w:r>
      <w:r w:rsidR="00A15749" w:rsidRPr="005C0CCD">
        <w:rPr>
          <w:rFonts w:asciiTheme="majorBidi" w:eastAsia="Times New Roman" w:hAnsiTheme="majorBidi" w:cstheme="majorBidi"/>
          <w:szCs w:val="24"/>
          <w:lang w:val="id-ID" w:eastAsia="id-ID"/>
        </w:rPr>
        <w:t>keterbatasan SDM asesor, kesulitan administrasi, dan resistensi sebagian pimpinan dayah.</w:t>
      </w:r>
      <w:r w:rsidR="00A15749" w:rsidRPr="000A69E2">
        <w:rPr>
          <w:rFonts w:asciiTheme="majorBidi" w:eastAsia="Times New Roman" w:hAnsiTheme="majorBidi" w:cstheme="majorBidi"/>
          <w:szCs w:val="24"/>
          <w:lang w:val="sv-SE" w:eastAsia="id-ID"/>
        </w:rPr>
        <w:t xml:space="preserve"> </w:t>
      </w:r>
      <w:r w:rsidR="00A15749" w:rsidRPr="005C0CCD">
        <w:rPr>
          <w:rFonts w:asciiTheme="majorBidi" w:eastAsia="Times New Roman" w:hAnsiTheme="majorBidi" w:cstheme="majorBidi"/>
          <w:szCs w:val="24"/>
          <w:lang w:val="id-ID" w:eastAsia="id-ID"/>
        </w:rPr>
        <w:t>Rekomendasi penelitian ini perlunya penguatan pendampingan, digitalisasi sistem akreditasi, serta pengembangan indikator mutu yang lebih adaptif terhadap dinamika pendidikan Islam modern. Dengan demikian, akreditasi dapat berfungsi tidak hanya sebagai instrumen penilaian</w:t>
      </w:r>
      <w:r w:rsidR="00A15749" w:rsidRPr="008A7D87">
        <w:rPr>
          <w:rFonts w:asciiTheme="majorBidi" w:eastAsia="Times New Roman" w:hAnsiTheme="majorBidi" w:cstheme="majorBidi"/>
          <w:szCs w:val="24"/>
          <w:lang w:val="id-ID" w:eastAsia="id-ID"/>
        </w:rPr>
        <w:t xml:space="preserve"> </w:t>
      </w:r>
      <w:r w:rsidR="00A15749" w:rsidRPr="005C0CCD">
        <w:rPr>
          <w:rFonts w:asciiTheme="majorBidi" w:eastAsia="Times New Roman" w:hAnsiTheme="majorBidi" w:cstheme="majorBidi"/>
          <w:szCs w:val="24"/>
          <w:lang w:val="id-ID" w:eastAsia="id-ID"/>
        </w:rPr>
        <w:t>sebagai mekanisme pembinaan berkelanjutan yang menjaga tradisi sekaligus meningkatkan daya saing dayah di Aceh.</w:t>
      </w:r>
    </w:p>
    <w:p w14:paraId="0FA5BA8F" w14:textId="18DEDF00" w:rsidR="00A15749" w:rsidRPr="00C327CE" w:rsidRDefault="00B16F2E" w:rsidP="00A15749">
      <w:pPr>
        <w:pBdr>
          <w:top w:val="nil"/>
          <w:left w:val="nil"/>
          <w:bottom w:val="nil"/>
          <w:right w:val="nil"/>
          <w:between w:val="nil"/>
        </w:pBdr>
        <w:spacing w:before="240"/>
        <w:ind w:left="1560" w:right="281" w:hanging="1276"/>
        <w:rPr>
          <w:rFonts w:eastAsia="Times New Roman"/>
          <w:b/>
          <w:color w:val="000000"/>
          <w:lang w:val="sv-SE"/>
        </w:rPr>
        <w:sectPr w:rsidR="00A15749" w:rsidRPr="00C327CE">
          <w:headerReference w:type="even" r:id="rId14"/>
          <w:headerReference w:type="default" r:id="rId15"/>
          <w:footerReference w:type="even" r:id="rId16"/>
          <w:footerReference w:type="default" r:id="rId17"/>
          <w:pgSz w:w="11906" w:h="16838"/>
          <w:pgMar w:top="1701" w:right="1418" w:bottom="1418" w:left="1418" w:header="851" w:footer="709" w:gutter="0"/>
          <w:pgNumType w:start="1"/>
          <w:cols w:space="720"/>
        </w:sectPr>
      </w:pPr>
      <w:r w:rsidRPr="00C327CE">
        <w:rPr>
          <w:rFonts w:eastAsia="Times New Roman"/>
          <w:b/>
          <w:color w:val="000000"/>
          <w:lang w:val="sv-SE"/>
        </w:rPr>
        <w:t xml:space="preserve">Kata kunci : </w:t>
      </w:r>
      <w:r w:rsidR="00A15749">
        <w:rPr>
          <w:rFonts w:eastAsia="Times New Roman"/>
          <w:b/>
          <w:color w:val="000000"/>
          <w:lang w:val="sv-SE"/>
        </w:rPr>
        <w:t xml:space="preserve"> </w:t>
      </w:r>
      <w:r w:rsidR="00A15749" w:rsidRPr="00A15749">
        <w:rPr>
          <w:rFonts w:asciiTheme="majorBidi" w:eastAsia="Times New Roman" w:hAnsiTheme="majorBidi" w:cstheme="majorBidi"/>
          <w:b/>
          <w:bCs/>
          <w:szCs w:val="24"/>
          <w:lang w:val="id-ID" w:eastAsia="id-ID"/>
        </w:rPr>
        <w:t>Akreditasi Dayah</w:t>
      </w:r>
      <w:r w:rsidR="00A15749" w:rsidRPr="00A15749">
        <w:rPr>
          <w:rFonts w:asciiTheme="majorBidi" w:eastAsia="Times New Roman" w:hAnsiTheme="majorBidi" w:cstheme="majorBidi"/>
          <w:b/>
          <w:bCs/>
          <w:szCs w:val="24"/>
          <w:lang w:val="sv-SE" w:eastAsia="id-ID"/>
        </w:rPr>
        <w:t xml:space="preserve">; </w:t>
      </w:r>
      <w:r w:rsidR="00A15749" w:rsidRPr="00A15749">
        <w:rPr>
          <w:rFonts w:asciiTheme="majorBidi" w:eastAsia="Times New Roman" w:hAnsiTheme="majorBidi" w:cstheme="majorBidi"/>
          <w:b/>
          <w:bCs/>
          <w:szCs w:val="24"/>
          <w:lang w:val="id-ID" w:eastAsia="id-ID"/>
        </w:rPr>
        <w:t>Kitab Kuning</w:t>
      </w:r>
      <w:r w:rsidR="00A15749" w:rsidRPr="00A15749">
        <w:rPr>
          <w:rFonts w:asciiTheme="majorBidi" w:eastAsia="Times New Roman" w:hAnsiTheme="majorBidi" w:cstheme="majorBidi"/>
          <w:b/>
          <w:bCs/>
          <w:szCs w:val="24"/>
          <w:lang w:val="sv-SE" w:eastAsia="id-ID"/>
        </w:rPr>
        <w:t xml:space="preserve">; </w:t>
      </w:r>
      <w:r w:rsidR="00A15749" w:rsidRPr="00A15749">
        <w:rPr>
          <w:rFonts w:asciiTheme="majorBidi" w:eastAsia="Times New Roman" w:hAnsiTheme="majorBidi" w:cstheme="majorBidi"/>
          <w:b/>
          <w:bCs/>
          <w:szCs w:val="24"/>
          <w:lang w:val="id-ID" w:eastAsia="id-ID"/>
        </w:rPr>
        <w:t>Badan Akreditasi Dayah Aceh</w:t>
      </w:r>
      <w:r w:rsidR="00A15749" w:rsidRPr="00A15749">
        <w:rPr>
          <w:rFonts w:asciiTheme="majorBidi" w:eastAsia="Times New Roman" w:hAnsiTheme="majorBidi" w:cstheme="majorBidi"/>
          <w:b/>
          <w:bCs/>
          <w:szCs w:val="24"/>
          <w:lang w:val="sv-SE" w:eastAsia="id-ID"/>
        </w:rPr>
        <w:t xml:space="preserve">; </w:t>
      </w:r>
      <w:r w:rsidR="00A15749" w:rsidRPr="00A15749">
        <w:rPr>
          <w:rFonts w:asciiTheme="majorBidi" w:eastAsia="Times New Roman" w:hAnsiTheme="majorBidi" w:cstheme="majorBidi"/>
          <w:b/>
          <w:bCs/>
          <w:szCs w:val="24"/>
          <w:lang w:val="id-ID" w:eastAsia="id-ID"/>
        </w:rPr>
        <w:t>Mutu Pendidikan Islam</w:t>
      </w:r>
      <w:r w:rsidR="00A15749" w:rsidRPr="00A15749">
        <w:rPr>
          <w:rFonts w:asciiTheme="majorBidi" w:eastAsia="Times New Roman" w:hAnsiTheme="majorBidi" w:cstheme="majorBidi"/>
          <w:b/>
          <w:bCs/>
          <w:szCs w:val="24"/>
          <w:lang w:val="sv-SE" w:eastAsia="id-ID"/>
        </w:rPr>
        <w:t xml:space="preserve">; </w:t>
      </w:r>
      <w:r w:rsidR="00A15749" w:rsidRPr="00A15749">
        <w:rPr>
          <w:rFonts w:asciiTheme="majorBidi" w:eastAsia="Times New Roman" w:hAnsiTheme="majorBidi" w:cstheme="majorBidi"/>
          <w:b/>
          <w:bCs/>
          <w:szCs w:val="24"/>
          <w:lang w:val="id-ID" w:eastAsia="id-ID"/>
        </w:rPr>
        <w:t>Tata Kelola Pendidikan.</w:t>
      </w:r>
    </w:p>
    <w:p w14:paraId="63F2BFC9" w14:textId="77777777" w:rsidR="00A41870" w:rsidRPr="00C327CE" w:rsidRDefault="00A41870">
      <w:pPr>
        <w:pBdr>
          <w:top w:val="nil"/>
          <w:left w:val="nil"/>
          <w:bottom w:val="nil"/>
          <w:right w:val="nil"/>
          <w:between w:val="nil"/>
        </w:pBdr>
        <w:spacing w:line="360" w:lineRule="auto"/>
        <w:ind w:firstLine="0"/>
        <w:rPr>
          <w:rFonts w:eastAsia="Times New Roman"/>
          <w:color w:val="000000"/>
          <w:sz w:val="22"/>
          <w:szCs w:val="22"/>
          <w:lang w:val="sv-SE"/>
        </w:rPr>
        <w:sectPr w:rsidR="00A41870" w:rsidRPr="00C327CE">
          <w:type w:val="continuous"/>
          <w:pgSz w:w="11906" w:h="16838"/>
          <w:pgMar w:top="1701" w:right="1418" w:bottom="1418" w:left="1418" w:header="851" w:footer="709" w:gutter="0"/>
          <w:cols w:num="2" w:space="720" w:equalWidth="0">
            <w:col w:w="4180" w:space="709"/>
            <w:col w:w="4180" w:space="0"/>
          </w:cols>
        </w:sectPr>
      </w:pPr>
    </w:p>
    <w:p w14:paraId="72B478EE" w14:textId="77777777" w:rsidR="00A41870" w:rsidRPr="00C327CE" w:rsidRDefault="00B16F2E">
      <w:pPr>
        <w:pBdr>
          <w:top w:val="nil"/>
          <w:left w:val="nil"/>
          <w:bottom w:val="nil"/>
          <w:right w:val="nil"/>
          <w:between w:val="nil"/>
        </w:pBdr>
        <w:spacing w:line="360" w:lineRule="auto"/>
        <w:ind w:firstLine="0"/>
        <w:rPr>
          <w:b/>
          <w:lang w:val="sv-SE"/>
        </w:rPr>
      </w:pPr>
      <w:r w:rsidRPr="00C327CE">
        <w:rPr>
          <w:b/>
          <w:lang w:val="sv-SE"/>
        </w:rPr>
        <w:t>PENDAHULUAN</w:t>
      </w:r>
    </w:p>
    <w:p w14:paraId="59F36F7B" w14:textId="20B31D52" w:rsidR="00A15749" w:rsidRPr="00532A03" w:rsidRDefault="00A15749" w:rsidP="00A15749">
      <w:pPr>
        <w:spacing w:line="360" w:lineRule="auto"/>
        <w:ind w:firstLine="720"/>
        <w:rPr>
          <w:rFonts w:asciiTheme="majorBidi" w:eastAsia="Times New Roman" w:hAnsiTheme="majorBidi" w:cstheme="majorBidi"/>
          <w:sz w:val="22"/>
          <w:szCs w:val="22"/>
          <w:lang w:val="id-ID" w:eastAsia="id-ID"/>
        </w:rPr>
      </w:pPr>
      <w:r w:rsidRPr="00532A03">
        <w:rPr>
          <w:rFonts w:asciiTheme="majorBidi" w:eastAsia="Times New Roman" w:hAnsiTheme="majorBidi" w:cstheme="majorBidi"/>
          <w:sz w:val="22"/>
          <w:szCs w:val="22"/>
          <w:lang w:val="id-ID" w:eastAsia="id-ID"/>
        </w:rPr>
        <w:t>Dayah merupakan lembaga pendidikan Islam tradisional yang telah lama berperan dalam menjaga khazanah keilmuan Islam di Aceh, khususnya melalui pembelajaran kitab kuning (</w:t>
      </w:r>
      <w:r w:rsidRPr="00532A03">
        <w:rPr>
          <w:rFonts w:asciiTheme="majorBidi" w:eastAsia="Times New Roman" w:hAnsiTheme="majorBidi" w:cstheme="majorBidi"/>
          <w:i/>
          <w:iCs/>
          <w:sz w:val="22"/>
          <w:szCs w:val="22"/>
          <w:lang w:val="id-ID" w:eastAsia="id-ID"/>
        </w:rPr>
        <w:t>turāṡ</w:t>
      </w:r>
      <w:r w:rsidRPr="00532A03">
        <w:rPr>
          <w:rFonts w:asciiTheme="majorBidi" w:eastAsia="Times New Roman" w:hAnsiTheme="majorBidi" w:cstheme="majorBidi"/>
          <w:sz w:val="22"/>
          <w:szCs w:val="22"/>
          <w:lang w:val="id-ID" w:eastAsia="id-ID"/>
        </w:rPr>
        <w:t>).</w:t>
      </w:r>
      <w:r w:rsidR="0027178C" w:rsidRPr="00532A03">
        <w:rPr>
          <w:rFonts w:asciiTheme="majorBidi" w:eastAsia="Times New Roman" w:hAnsiTheme="majorBidi" w:cstheme="majorBidi"/>
          <w:sz w:val="22"/>
          <w:szCs w:val="22"/>
          <w:lang w:val="id-ID" w:eastAsia="id-ID"/>
        </w:rPr>
        <w:fldChar w:fldCharType="begin" w:fldLock="1"/>
      </w:r>
      <w:r w:rsidR="0027178C" w:rsidRPr="00532A03">
        <w:rPr>
          <w:rFonts w:asciiTheme="majorBidi" w:eastAsia="Times New Roman" w:hAnsiTheme="majorBidi" w:cstheme="majorBidi"/>
          <w:sz w:val="22"/>
          <w:szCs w:val="22"/>
          <w:lang w:val="id-ID" w:eastAsia="id-ID"/>
        </w:rPr>
        <w:instrText>ADDIN CSL_CITATION {"citationItems":[{"id":"ITEM-1","itemData":{"ISBN":"6235722168","author":[{"dropping-particle":"","family":"Zulfikar","given":"Azmi Yudha","non-dropping-particle":"","parse-names":false,"suffix":""}],"id":"ITEM-1","issued":{"date-parts":[["2022"]]},"publisher":"Yayasan Penerbit Muhammad Zaini","title":"Transformasi sosial dan perubahan dayah di Aceh","type":"book"},"uris":["http://www.mendeley.com/documents/?uuid=10ce072a-0096-47a5-9b95-9cae52dce704"]}],"mendeley":{"formattedCitation":"(Zulfikar, 2022)","plainTextFormattedCitation":"(Zulfikar, 2022)","previouslyFormattedCitation":"(Zulfikar, 2022)"},"properties":{"noteIndex":0},"schema":"https://github.com/citation-style-language/schema/raw/master/csl-citation.json"}</w:instrText>
      </w:r>
      <w:r w:rsidR="0027178C" w:rsidRPr="00532A03">
        <w:rPr>
          <w:rFonts w:asciiTheme="majorBidi" w:eastAsia="Times New Roman" w:hAnsiTheme="majorBidi" w:cstheme="majorBidi"/>
          <w:sz w:val="22"/>
          <w:szCs w:val="22"/>
          <w:lang w:val="id-ID" w:eastAsia="id-ID"/>
        </w:rPr>
        <w:fldChar w:fldCharType="separate"/>
      </w:r>
      <w:r w:rsidR="0027178C" w:rsidRPr="00532A03">
        <w:rPr>
          <w:rFonts w:asciiTheme="majorBidi" w:eastAsia="Times New Roman" w:hAnsiTheme="majorBidi" w:cstheme="majorBidi"/>
          <w:noProof/>
          <w:sz w:val="22"/>
          <w:szCs w:val="22"/>
          <w:lang w:val="id-ID" w:eastAsia="id-ID"/>
        </w:rPr>
        <w:t>(Zulfikar, 2022)</w:t>
      </w:r>
      <w:r w:rsidR="0027178C" w:rsidRPr="00532A03">
        <w:rPr>
          <w:rFonts w:asciiTheme="majorBidi" w:eastAsia="Times New Roman" w:hAnsiTheme="majorBidi" w:cstheme="majorBidi"/>
          <w:sz w:val="22"/>
          <w:szCs w:val="22"/>
          <w:lang w:val="id-ID" w:eastAsia="id-ID"/>
        </w:rPr>
        <w:fldChar w:fldCharType="end"/>
      </w:r>
      <w:r w:rsidRPr="00532A03">
        <w:rPr>
          <w:rFonts w:asciiTheme="majorBidi" w:eastAsia="Times New Roman" w:hAnsiTheme="majorBidi" w:cstheme="majorBidi"/>
          <w:sz w:val="22"/>
          <w:szCs w:val="22"/>
          <w:lang w:val="id-ID" w:eastAsia="id-ID"/>
        </w:rPr>
        <w:t xml:space="preserve"> Keberadaannya bukan sekadar institusi pendidikan, tetapi juga pusat transmisi nilai, budaya, dan tradisi keilmuan Islam yang berakar kuat dalam masyarakat </w:t>
      </w:r>
      <w:r w:rsidR="0027178C" w:rsidRPr="00532A03">
        <w:rPr>
          <w:rFonts w:asciiTheme="majorBidi" w:eastAsia="Times New Roman" w:hAnsiTheme="majorBidi" w:cstheme="majorBidi"/>
          <w:sz w:val="22"/>
          <w:szCs w:val="22"/>
          <w:lang w:val="id-ID" w:eastAsia="id-ID"/>
        </w:rPr>
        <w:fldChar w:fldCharType="begin" w:fldLock="1"/>
      </w:r>
      <w:r w:rsidR="008D7C44" w:rsidRPr="00532A03">
        <w:rPr>
          <w:rFonts w:asciiTheme="majorBidi" w:eastAsia="Times New Roman" w:hAnsiTheme="majorBidi" w:cstheme="majorBidi"/>
          <w:sz w:val="22"/>
          <w:szCs w:val="22"/>
          <w:lang w:val="id-ID" w:eastAsia="id-ID"/>
        </w:rPr>
        <w:instrText>ADDIN CSL_CITATION {"citationItems":[{"id":"ITEM-1","itemData":{"abstract":"Seiring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Kata","author":[{"dropping-particle":"","family":"Daulay","given":"Putra Haidar","non-dropping-particle":"","parse-names":false,"suffix":""}],"id":"ITEM-1","issued":{"date-parts":[["2018"]]},"publisher":"Prenadamedia Group","publisher-place":"Jakarta","title":"Sejarah Pertumbuhan dan Pembaruan Pendidikan Islam di Indonesia","type":"book"},"uris":["http://www.mendeley.com/documents/?uuid=d45dd173-732c-4766-8737-ad0f25c22dd4"]},{"id":"ITEM-2","itemData":{"ISSN":"2797-5452","author":[{"dropping-particle":"","family":"Mariyati","given":"Mariyati","non-dropping-particle":"","parse-names":false,"suffix":""},{"dropping-particle":"","family":"Arif","given":"Zuhri","non-dropping-particle":"","parse-names":false,"suffix":""},{"dropping-particle":"","family":"Wardi","given":"Syah","non-dropping-particle":"","parse-names":false,"suffix":""}],"container-title":"Jurnal Tahsinia","id":"ITEM-2","issue":"5","issued":{"date-parts":[["2024"]]},"page":"731-741","title":"Perkembangan Dayah Dalam Tradisi Masyarakat Aceh: Kontribusi Kualitas Pendidikan Masyarakat","type":"article-journal","volume":"5"},"uris":["http://www.mendeley.com/documents/?uuid=c045a3ac-8d7d-457e-8e29-256b9b1a2556"]}],"mendeley":{"formattedCitation":"(Daulay, 2018; Mariyati et al., 2024)","plainTextFormattedCitation":"(Daulay, 2018; Mariyati et al., 2024)","previouslyFormattedCitation":"(Daulay, 2018; Mariyati et al., 2024)"},"properties":{"noteIndex":0},"schema":"https://github.com/citation-style-language/schema/raw/master/csl-citation.json"}</w:instrText>
      </w:r>
      <w:r w:rsidR="0027178C" w:rsidRPr="00532A03">
        <w:rPr>
          <w:rFonts w:asciiTheme="majorBidi" w:eastAsia="Times New Roman" w:hAnsiTheme="majorBidi" w:cstheme="majorBidi"/>
          <w:sz w:val="22"/>
          <w:szCs w:val="22"/>
          <w:lang w:val="id-ID" w:eastAsia="id-ID"/>
        </w:rPr>
        <w:fldChar w:fldCharType="separate"/>
      </w:r>
      <w:r w:rsidR="008319F6" w:rsidRPr="00532A03">
        <w:rPr>
          <w:rFonts w:asciiTheme="majorBidi" w:eastAsia="Times New Roman" w:hAnsiTheme="majorBidi" w:cstheme="majorBidi"/>
          <w:noProof/>
          <w:sz w:val="22"/>
          <w:szCs w:val="22"/>
          <w:lang w:val="id-ID" w:eastAsia="id-ID"/>
        </w:rPr>
        <w:t>(Daulay, 2018; Mariyati et al., 2024)</w:t>
      </w:r>
      <w:r w:rsidR="0027178C" w:rsidRPr="00532A03">
        <w:rPr>
          <w:rFonts w:asciiTheme="majorBidi" w:eastAsia="Times New Roman" w:hAnsiTheme="majorBidi" w:cstheme="majorBidi"/>
          <w:sz w:val="22"/>
          <w:szCs w:val="22"/>
          <w:lang w:val="id-ID" w:eastAsia="id-ID"/>
        </w:rPr>
        <w:fldChar w:fldCharType="end"/>
      </w:r>
      <w:r w:rsidR="0027178C" w:rsidRPr="00532A03">
        <w:rPr>
          <w:rFonts w:asciiTheme="majorBidi" w:eastAsia="Times New Roman" w:hAnsiTheme="majorBidi" w:cstheme="majorBidi"/>
          <w:sz w:val="22"/>
          <w:szCs w:val="22"/>
          <w:lang w:val="sv-SE" w:eastAsia="id-ID"/>
        </w:rPr>
        <w:t>.</w:t>
      </w:r>
      <w:r w:rsidRPr="00532A03">
        <w:rPr>
          <w:rFonts w:asciiTheme="majorBidi" w:eastAsia="Times New Roman" w:hAnsiTheme="majorBidi" w:cstheme="majorBidi"/>
          <w:sz w:val="22"/>
          <w:szCs w:val="22"/>
          <w:lang w:val="id-ID" w:eastAsia="id-ID"/>
        </w:rPr>
        <w:t xml:space="preserve"> Meski demikian, di tengah derasnya arus modernisasi pendidikan, dayah menghadapi tantangan serius terkait mutu manajemen, standar kurikulum, serta pengakuan formal dari negara dan masyarakat luas.</w:t>
      </w:r>
    </w:p>
    <w:p w14:paraId="6B089A3F" w14:textId="1D83E562" w:rsidR="00A15749" w:rsidRPr="00532A03" w:rsidRDefault="00A15749" w:rsidP="00A15749">
      <w:pPr>
        <w:spacing w:line="360" w:lineRule="auto"/>
        <w:ind w:firstLine="720"/>
        <w:rPr>
          <w:rFonts w:asciiTheme="majorBidi" w:eastAsia="Times New Roman" w:hAnsiTheme="majorBidi" w:cstheme="majorBidi"/>
          <w:sz w:val="22"/>
          <w:szCs w:val="22"/>
          <w:lang w:val="id-ID" w:eastAsia="id-ID"/>
        </w:rPr>
      </w:pPr>
      <w:r w:rsidRPr="00532A03">
        <w:rPr>
          <w:rFonts w:asciiTheme="majorBidi" w:eastAsia="Times New Roman" w:hAnsiTheme="majorBidi" w:cstheme="majorBidi"/>
          <w:sz w:val="22"/>
          <w:szCs w:val="22"/>
          <w:lang w:val="id-ID" w:eastAsia="id-ID"/>
        </w:rPr>
        <w:t>Kesenjangan yang muncul adalah tidak adanya standar mutu terukur yang dapat menjamin kualitas pendidikan dayah.</w:t>
      </w:r>
      <w:r w:rsidR="008319F6" w:rsidRPr="00532A03">
        <w:rPr>
          <w:rFonts w:asciiTheme="majorBidi" w:eastAsia="Times New Roman" w:hAnsiTheme="majorBidi" w:cstheme="majorBidi"/>
          <w:sz w:val="22"/>
          <w:szCs w:val="22"/>
          <w:lang w:val="id-ID" w:eastAsia="id-ID"/>
        </w:rPr>
        <w:fldChar w:fldCharType="begin" w:fldLock="1"/>
      </w:r>
      <w:r w:rsidR="005662E7" w:rsidRPr="00532A03">
        <w:rPr>
          <w:rFonts w:asciiTheme="majorBidi" w:eastAsia="Times New Roman" w:hAnsiTheme="majorBidi" w:cstheme="majorBidi"/>
          <w:sz w:val="22"/>
          <w:szCs w:val="22"/>
          <w:lang w:val="id-ID" w:eastAsia="id-ID"/>
        </w:rPr>
        <w:instrText>ADDIN CSL_CITATION {"citationItems":[{"id":"ITEM-1","itemData":{"ISSN":"2807-3878","author":[{"dropping-particle":"","family":"Mirsal","given":"Ilham","non-dropping-particle":"","parse-names":false,"suffix":""},{"dropping-particle":"","family":"Fuadi","given":"Anwar","non-dropping-particle":"","parse-names":false,"suffix":""},{"dropping-particle":"","family":"Rani","given":"Samsul","non-dropping-particle":"","parse-names":false,"suffix":""},{"dropping-particle":"","family":"Nuwairah","given":"Nahed","non-dropping-particle":"","parse-names":false,"suffix":""}],"container-title":"Jurnal Pendidikan Indonesia: Teori, Penelitian, dan Inovasi","id":"ITEM-1","issue":"2","issued":{"date-parts":[["2025"]]},"title":"Implementasi Akreditasi Dayah Dalam Peningkatan Mutu Pendidikan di Aceh (Studi Kasus Dayah Darul Wustha Labuhan Haji Aceh Selatan)","type":"article-journal","volume":"5"},"uris":["http://www.mendeley.com/documents/?uuid=98302bd2-71ad-4e1e-8328-6fb026023642"]},{"id":"ITEM-2","itemData":{"author":[{"dropping-particle":"","family":"Rahmad","given":"Saiful","non-dropping-particle":"","parse-names":false,"suffix":""}],"id":"ITEM-2","issued":{"date-parts":[["2025"]]},"publisher":"Universitas PTIQ Jakarta","title":"Modernisasi Manajemen Pendidikan Dayah Perspektif Al-Qur'an","type":"article"},"uris":["http://www.mendeley.com/documents/?uuid=404f3fb3-182c-4a65-af34-9da42bed8c24"]}],"mendeley":{"formattedCitation":"(Mirsal et al., 2025; Rahmad, 2025)","plainTextFormattedCitation":"(Mirsal et al., 2025; Rahmad, 2025)","previouslyFormattedCitation":"(Mirsal et al., 2025; Rahmad, 2025)"},"properties":{"noteIndex":0},"schema":"https://github.com/citation-style-language/schema/raw/master/csl-citation.json"}</w:instrText>
      </w:r>
      <w:r w:rsidR="008319F6" w:rsidRPr="00532A03">
        <w:rPr>
          <w:rFonts w:asciiTheme="majorBidi" w:eastAsia="Times New Roman" w:hAnsiTheme="majorBidi" w:cstheme="majorBidi"/>
          <w:sz w:val="22"/>
          <w:szCs w:val="22"/>
          <w:lang w:val="id-ID" w:eastAsia="id-ID"/>
        </w:rPr>
        <w:fldChar w:fldCharType="separate"/>
      </w:r>
      <w:r w:rsidR="008D7C44" w:rsidRPr="00532A03">
        <w:rPr>
          <w:rFonts w:asciiTheme="majorBidi" w:eastAsia="Times New Roman" w:hAnsiTheme="majorBidi" w:cstheme="majorBidi"/>
          <w:noProof/>
          <w:sz w:val="22"/>
          <w:szCs w:val="22"/>
          <w:lang w:val="id-ID" w:eastAsia="id-ID"/>
        </w:rPr>
        <w:t>(Mirsal et al., 2025; Rahmad, 2025)</w:t>
      </w:r>
      <w:r w:rsidR="008319F6" w:rsidRPr="00532A03">
        <w:rPr>
          <w:rFonts w:asciiTheme="majorBidi" w:eastAsia="Times New Roman" w:hAnsiTheme="majorBidi" w:cstheme="majorBidi"/>
          <w:sz w:val="22"/>
          <w:szCs w:val="22"/>
          <w:lang w:val="id-ID" w:eastAsia="id-ID"/>
        </w:rPr>
        <w:fldChar w:fldCharType="end"/>
      </w:r>
      <w:r w:rsidRPr="00532A03">
        <w:rPr>
          <w:rFonts w:asciiTheme="majorBidi" w:eastAsia="Times New Roman" w:hAnsiTheme="majorBidi" w:cstheme="majorBidi"/>
          <w:sz w:val="22"/>
          <w:szCs w:val="22"/>
          <w:lang w:val="id-ID" w:eastAsia="id-ID"/>
        </w:rPr>
        <w:t xml:space="preserve"> Selama bertahun-tahun, pengelolaan dayah berlangsung secara mandiri dengan sistem penilaian internal yang sangat bergantung pada kharisma pimpinan (</w:t>
      </w:r>
      <w:r w:rsidRPr="00532A03">
        <w:rPr>
          <w:rFonts w:asciiTheme="majorBidi" w:eastAsia="Times New Roman" w:hAnsiTheme="majorBidi" w:cstheme="majorBidi"/>
          <w:i/>
          <w:iCs/>
          <w:sz w:val="22"/>
          <w:szCs w:val="22"/>
          <w:lang w:val="id-ID" w:eastAsia="id-ID"/>
        </w:rPr>
        <w:t>teungku</w:t>
      </w:r>
      <w:r w:rsidRPr="00532A03">
        <w:rPr>
          <w:rFonts w:asciiTheme="majorBidi" w:eastAsia="Times New Roman" w:hAnsiTheme="majorBidi" w:cstheme="majorBidi"/>
          <w:sz w:val="22"/>
          <w:szCs w:val="22"/>
          <w:lang w:val="id-ID" w:eastAsia="id-ID"/>
        </w:rPr>
        <w:t xml:space="preserve">). Kondisi ini berbeda dengan lembaga pendidikan formal yang memiliki mekanisme akreditasi dan sistem penjaminan mutu yang baku </w:t>
      </w:r>
      <w:r w:rsidR="0027178C" w:rsidRPr="00532A03">
        <w:rPr>
          <w:rFonts w:asciiTheme="majorBidi" w:eastAsia="Times New Roman" w:hAnsiTheme="majorBidi" w:cstheme="majorBidi"/>
          <w:sz w:val="22"/>
          <w:szCs w:val="22"/>
          <w:lang w:val="id-ID" w:eastAsia="id-ID"/>
        </w:rPr>
        <w:fldChar w:fldCharType="begin" w:fldLock="1"/>
      </w:r>
      <w:r w:rsidR="008319F6" w:rsidRPr="00532A03">
        <w:rPr>
          <w:rFonts w:asciiTheme="majorBidi" w:eastAsia="Times New Roman" w:hAnsiTheme="majorBidi" w:cstheme="majorBidi"/>
          <w:sz w:val="22"/>
          <w:szCs w:val="22"/>
          <w:lang w:val="id-ID" w:eastAsia="id-ID"/>
        </w:rPr>
        <w:instrText>ADDIN CSL_CITATION {"citationItems":[{"id":"ITEM-1","itemData":{"author":[{"dropping-particle":"","family":"Mastuki","given":"","non-dropping-particle":"","parse-names":false,"suffix":""}],"container-title":"Edukasia: Jurnal Penelitian Pendidikan Islam","id":"ITEM-1","issue":"1","issued":{"date-parts":[["2020"]]},"page":"33-50","title":"Standar mutu pendidikan pesantren dan tantangan akreditasi","type":"article-journal","volume":"15"},"uris":["http://www.mendeley.com/documents/?uuid=55620bbd-4cb9-4c74-b9fa-0c7a2ae10eef"]}],"mendeley":{"formattedCitation":"(Mastuki, 2020)","plainTextFormattedCitation":"(Mastuki, 2020)","previouslyFormattedCitation":"(Mastuki, 2020)"},"properties":{"noteIndex":0},"schema":"https://github.com/citation-style-language/schema/raw/master/csl-citation.json"}</w:instrText>
      </w:r>
      <w:r w:rsidR="0027178C" w:rsidRPr="00532A03">
        <w:rPr>
          <w:rFonts w:asciiTheme="majorBidi" w:eastAsia="Times New Roman" w:hAnsiTheme="majorBidi" w:cstheme="majorBidi"/>
          <w:sz w:val="22"/>
          <w:szCs w:val="22"/>
          <w:lang w:val="id-ID" w:eastAsia="id-ID"/>
        </w:rPr>
        <w:fldChar w:fldCharType="separate"/>
      </w:r>
      <w:r w:rsidR="0027178C" w:rsidRPr="00532A03">
        <w:rPr>
          <w:rFonts w:asciiTheme="majorBidi" w:eastAsia="Times New Roman" w:hAnsiTheme="majorBidi" w:cstheme="majorBidi"/>
          <w:noProof/>
          <w:sz w:val="22"/>
          <w:szCs w:val="22"/>
          <w:lang w:val="id-ID" w:eastAsia="id-ID"/>
        </w:rPr>
        <w:t>(Mastuki, 2020)</w:t>
      </w:r>
      <w:r w:rsidR="0027178C" w:rsidRPr="00532A03">
        <w:rPr>
          <w:rFonts w:asciiTheme="majorBidi" w:eastAsia="Times New Roman" w:hAnsiTheme="majorBidi" w:cstheme="majorBidi"/>
          <w:sz w:val="22"/>
          <w:szCs w:val="22"/>
          <w:lang w:val="id-ID" w:eastAsia="id-ID"/>
        </w:rPr>
        <w:fldChar w:fldCharType="end"/>
      </w:r>
      <w:r w:rsidRPr="00532A03">
        <w:rPr>
          <w:rFonts w:asciiTheme="majorBidi" w:eastAsia="Times New Roman" w:hAnsiTheme="majorBidi" w:cstheme="majorBidi"/>
          <w:sz w:val="22"/>
          <w:szCs w:val="22"/>
          <w:lang w:val="id-ID" w:eastAsia="id-ID"/>
        </w:rPr>
        <w:t>. Akibatnya, meskipun memiliki peran historis dan sosial yang kuat, posisi dayah dalam sistem pendidikan nasional sering kali kurang mendapatkan pengakuan setara.</w:t>
      </w:r>
    </w:p>
    <w:p w14:paraId="4412578D" w14:textId="5BAF7657" w:rsidR="00A15749" w:rsidRPr="00532A03" w:rsidRDefault="00A15749" w:rsidP="00A15749">
      <w:pPr>
        <w:spacing w:line="360" w:lineRule="auto"/>
        <w:ind w:firstLine="720"/>
        <w:rPr>
          <w:rFonts w:asciiTheme="majorBidi" w:eastAsia="Times New Roman" w:hAnsiTheme="majorBidi" w:cstheme="majorBidi"/>
          <w:sz w:val="22"/>
          <w:szCs w:val="22"/>
          <w:lang w:val="id-ID" w:eastAsia="id-ID"/>
        </w:rPr>
      </w:pPr>
      <w:r w:rsidRPr="00532A03">
        <w:rPr>
          <w:rFonts w:asciiTheme="majorBidi" w:eastAsia="Times New Roman" w:hAnsiTheme="majorBidi" w:cstheme="majorBidi"/>
          <w:sz w:val="22"/>
          <w:szCs w:val="22"/>
          <w:lang w:val="id-ID" w:eastAsia="id-ID"/>
        </w:rPr>
        <w:t>Seiring dengan lahirnya kebijakan otonomi khusus di Aceh, Pemerintah Aceh melalui Badan Akreditasi Dayah Aceh (B</w:t>
      </w:r>
      <w:r w:rsidR="00625CA8" w:rsidRPr="00625CA8">
        <w:rPr>
          <w:rFonts w:asciiTheme="majorBidi" w:eastAsia="Times New Roman" w:hAnsiTheme="majorBidi" w:cstheme="majorBidi"/>
          <w:sz w:val="22"/>
          <w:szCs w:val="22"/>
          <w:lang w:val="id-ID" w:eastAsia="id-ID"/>
        </w:rPr>
        <w:t>s</w:t>
      </w:r>
      <w:r w:rsidRPr="00532A03">
        <w:rPr>
          <w:rFonts w:asciiTheme="majorBidi" w:eastAsia="Times New Roman" w:hAnsiTheme="majorBidi" w:cstheme="majorBidi"/>
          <w:sz w:val="22"/>
          <w:szCs w:val="22"/>
          <w:lang w:val="id-ID" w:eastAsia="id-ID"/>
        </w:rPr>
        <w:t>ADA) berupaya mengisi kesenjangan tersebut dengan membangun instrumen akreditasi.</w:t>
      </w:r>
      <w:r w:rsidR="005662E7" w:rsidRPr="00532A03">
        <w:rPr>
          <w:rFonts w:asciiTheme="majorBidi" w:eastAsia="Times New Roman" w:hAnsiTheme="majorBidi" w:cstheme="majorBidi"/>
          <w:sz w:val="22"/>
          <w:szCs w:val="22"/>
          <w:lang w:val="id-ID" w:eastAsia="id-ID"/>
        </w:rPr>
        <w:fldChar w:fldCharType="begin" w:fldLock="1"/>
      </w:r>
      <w:r w:rsidR="00A74B65" w:rsidRPr="00532A03">
        <w:rPr>
          <w:rFonts w:asciiTheme="majorBidi" w:eastAsia="Times New Roman" w:hAnsiTheme="majorBidi" w:cstheme="majorBidi"/>
          <w:sz w:val="22"/>
          <w:szCs w:val="22"/>
          <w:lang w:val="id-ID" w:eastAsia="id-ID"/>
        </w:rPr>
        <w:instrText>ADDIN CSL_CITATION {"citationItems":[{"id":"ITEM-1","itemData":{"ISSN":"2615-076X","author":[{"dropping-particle":"","family":"Sanur","given":"Debora","non-dropping-particle":"","parse-names":false,"suffix":""}],"container-title":"Jurnal Politica Dinamika Masalah Politik Dalam Negeri Dan Hubungan Internasional","id":"ITEM-1","issue":"1","issued":{"date-parts":[["2020"]]},"page":"65-83","title":"Implementasi kebijakan otonomi khusus di Aceh [implementation of special autonomy policies in Aceh]","type":"article-journal","volume":"11"},"uris":["http://www.mendeley.com/documents/?uuid=eca1fc49-a710-474f-8277-de55681e4082"]},{"id":"ITEM-2","itemData":{"abstract":"… tidak adanya political will dari pemerintahan. Terakhir penerapan kebijakan kekhususan pendidikan Aceh juga dilakukan oleh kabupaten/kota dalam menyusun kurikulum muatan lokal …","author":[{"dropping-particle":"","family":"Amirul Haq","given":"","non-dropping-particle":"","parse-names":false,"suffix":""}],"container-title":"Institutional Repository UIN Sunan Kalijaga Yogyakarta","id":"ITEM-2","issued":{"date-parts":[["2022"]]},"page":"1-49","title":"Implementasi Kebijakan Kekhususan Pendidikan Aceh","type":"article-journal"},"uris":["http://www.mendeley.com/documents/?uuid=30c2494a-09ea-4887-89d6-2beb35a46c65"]}],"mendeley":{"formattedCitation":"(Amirul Haq, 2022; Sanur, 2020)","plainTextFormattedCitation":"(Amirul Haq, 2022; Sanur, 2020)","previouslyFormattedCitation":"(Amirul Haq, 2022; Sanur, 2020)"},"properties":{"noteIndex":0},"schema":"https://github.com/citation-style-language/schema/raw/master/csl-citation.json"}</w:instrText>
      </w:r>
      <w:r w:rsidR="005662E7" w:rsidRPr="00532A03">
        <w:rPr>
          <w:rFonts w:asciiTheme="majorBidi" w:eastAsia="Times New Roman" w:hAnsiTheme="majorBidi" w:cstheme="majorBidi"/>
          <w:sz w:val="22"/>
          <w:szCs w:val="22"/>
          <w:lang w:val="id-ID" w:eastAsia="id-ID"/>
        </w:rPr>
        <w:fldChar w:fldCharType="separate"/>
      </w:r>
      <w:r w:rsidR="001F3D4B" w:rsidRPr="00532A03">
        <w:rPr>
          <w:rFonts w:asciiTheme="majorBidi" w:eastAsia="Times New Roman" w:hAnsiTheme="majorBidi" w:cstheme="majorBidi"/>
          <w:noProof/>
          <w:sz w:val="22"/>
          <w:szCs w:val="22"/>
          <w:lang w:val="id-ID" w:eastAsia="id-ID"/>
        </w:rPr>
        <w:t>(Amirul Haq, 2022; Sanur, 2020)</w:t>
      </w:r>
      <w:r w:rsidR="005662E7" w:rsidRPr="00532A03">
        <w:rPr>
          <w:rFonts w:asciiTheme="majorBidi" w:eastAsia="Times New Roman" w:hAnsiTheme="majorBidi" w:cstheme="majorBidi"/>
          <w:sz w:val="22"/>
          <w:szCs w:val="22"/>
          <w:lang w:val="id-ID" w:eastAsia="id-ID"/>
        </w:rPr>
        <w:fldChar w:fldCharType="end"/>
      </w:r>
      <w:r w:rsidRPr="00532A03">
        <w:rPr>
          <w:rFonts w:asciiTheme="majorBidi" w:eastAsia="Times New Roman" w:hAnsiTheme="majorBidi" w:cstheme="majorBidi"/>
          <w:sz w:val="22"/>
          <w:szCs w:val="22"/>
          <w:lang w:val="id-ID" w:eastAsia="id-ID"/>
        </w:rPr>
        <w:t xml:space="preserve"> Akreditasi tidak hanya dipandang sebagai instrumen administratif, melainkan juga sebagai upaya untuk membina, menata, dan meningkatkan mutu pembelajaran kitab kuning sebagai inti pendidikan dayah </w:t>
      </w:r>
      <w:r w:rsidR="005662E7" w:rsidRPr="00532A03">
        <w:rPr>
          <w:rFonts w:asciiTheme="majorBidi" w:eastAsia="Times New Roman" w:hAnsiTheme="majorBidi" w:cstheme="majorBidi"/>
          <w:sz w:val="22"/>
          <w:szCs w:val="22"/>
          <w:lang w:val="id-ID" w:eastAsia="id-ID"/>
        </w:rPr>
        <w:fldChar w:fldCharType="begin" w:fldLock="1"/>
      </w:r>
      <w:r w:rsidR="00DF1309" w:rsidRPr="00532A03">
        <w:rPr>
          <w:rFonts w:asciiTheme="majorBidi" w:eastAsia="Times New Roman" w:hAnsiTheme="majorBidi" w:cstheme="majorBidi"/>
          <w:sz w:val="22"/>
          <w:szCs w:val="22"/>
          <w:lang w:val="id-ID" w:eastAsia="id-ID"/>
        </w:rPr>
        <w:instrText>ADDIN CSL_CITATION {"citationItems":[{"id":"ITEM-1","itemData":{"author":[{"dropping-particle":"","family":"Ismail","given":"M","non-dropping-particle":"","parse-names":false,"suffix":""}],"container-title":"Jurnal Pendidikan Islam","id":"ITEM-1","issue":"2","issued":{"date-parts":[["2021"]]},"page":"145-160","title":"Akreditasi dayah dan implikasinya terhadap mutu pendidikan Islam di Aceh","type":"article-journal","volume":"7"},"uris":["http://www.mendeley.com/documents/?uuid=3d48f915-0b89-462a-8635-1e13b1b7ffdf"]}],"mendeley":{"formattedCitation":"(Ismail, 2021)","plainTextFormattedCitation":"(Ismail, 2021)","previouslyFormattedCitation":"(Ismail, 2021)"},"properties":{"noteIndex":0},"schema":"https://github.com/citation-style-language/schema/raw/master/csl-citation.json"}</w:instrText>
      </w:r>
      <w:r w:rsidR="005662E7" w:rsidRPr="00532A03">
        <w:rPr>
          <w:rFonts w:asciiTheme="majorBidi" w:eastAsia="Times New Roman" w:hAnsiTheme="majorBidi" w:cstheme="majorBidi"/>
          <w:sz w:val="22"/>
          <w:szCs w:val="22"/>
          <w:lang w:val="id-ID" w:eastAsia="id-ID"/>
        </w:rPr>
        <w:fldChar w:fldCharType="separate"/>
      </w:r>
      <w:r w:rsidR="005662E7" w:rsidRPr="00532A03">
        <w:rPr>
          <w:rFonts w:asciiTheme="majorBidi" w:eastAsia="Times New Roman" w:hAnsiTheme="majorBidi" w:cstheme="majorBidi"/>
          <w:noProof/>
          <w:sz w:val="22"/>
          <w:szCs w:val="22"/>
          <w:lang w:val="id-ID" w:eastAsia="id-ID"/>
        </w:rPr>
        <w:t>(Ismail, 2021)</w:t>
      </w:r>
      <w:r w:rsidR="005662E7" w:rsidRPr="00532A03">
        <w:rPr>
          <w:rFonts w:asciiTheme="majorBidi" w:eastAsia="Times New Roman" w:hAnsiTheme="majorBidi" w:cstheme="majorBidi"/>
          <w:sz w:val="22"/>
          <w:szCs w:val="22"/>
          <w:lang w:val="id-ID" w:eastAsia="id-ID"/>
        </w:rPr>
        <w:fldChar w:fldCharType="end"/>
      </w:r>
      <w:r w:rsidR="005662E7" w:rsidRPr="00532A03">
        <w:rPr>
          <w:rFonts w:asciiTheme="majorBidi" w:eastAsia="Times New Roman" w:hAnsiTheme="majorBidi" w:cstheme="majorBidi"/>
          <w:sz w:val="22"/>
          <w:szCs w:val="22"/>
          <w:lang w:val="id-ID" w:eastAsia="id-ID"/>
        </w:rPr>
        <w:t xml:space="preserve">. </w:t>
      </w:r>
      <w:r w:rsidRPr="00532A03">
        <w:rPr>
          <w:rFonts w:asciiTheme="majorBidi" w:eastAsia="Times New Roman" w:hAnsiTheme="majorBidi" w:cstheme="majorBidi"/>
          <w:sz w:val="22"/>
          <w:szCs w:val="22"/>
          <w:lang w:val="id-ID" w:eastAsia="id-ID"/>
        </w:rPr>
        <w:t xml:space="preserve">Hal ini penting karena kitab kuning merupakan fondasi </w:t>
      </w:r>
      <w:r w:rsidR="006C1AE8" w:rsidRPr="00532A03">
        <w:rPr>
          <w:rFonts w:asciiTheme="majorBidi" w:eastAsia="Times New Roman" w:hAnsiTheme="majorBidi" w:cstheme="majorBidi"/>
          <w:sz w:val="22"/>
          <w:szCs w:val="22"/>
          <w:lang w:val="sv-SE" w:eastAsia="id-ID"/>
        </w:rPr>
        <w:t xml:space="preserve">sebagai </w:t>
      </w:r>
      <w:r w:rsidRPr="00532A03">
        <w:rPr>
          <w:rFonts w:asciiTheme="majorBidi" w:eastAsia="Times New Roman" w:hAnsiTheme="majorBidi" w:cstheme="majorBidi"/>
          <w:sz w:val="22"/>
          <w:szCs w:val="22"/>
          <w:lang w:val="id-ID" w:eastAsia="id-ID"/>
        </w:rPr>
        <w:t xml:space="preserve">transmisi ilmu-ilmu keislaman klasik yang menjadi ruh pendidikan dayah </w:t>
      </w:r>
      <w:r w:rsidR="00DF1309" w:rsidRPr="00532A03">
        <w:rPr>
          <w:rFonts w:asciiTheme="majorBidi" w:eastAsia="Times New Roman" w:hAnsiTheme="majorBidi" w:cstheme="majorBidi"/>
          <w:sz w:val="22"/>
          <w:szCs w:val="22"/>
          <w:lang w:val="id-ID" w:eastAsia="id-ID"/>
        </w:rPr>
        <w:fldChar w:fldCharType="begin" w:fldLock="1"/>
      </w:r>
      <w:r w:rsidR="00310DA5">
        <w:rPr>
          <w:rFonts w:asciiTheme="majorBidi" w:eastAsia="Times New Roman" w:hAnsiTheme="majorBidi" w:cstheme="majorBidi"/>
          <w:sz w:val="22"/>
          <w:szCs w:val="22"/>
          <w:lang w:val="id-ID" w:eastAsia="id-ID"/>
        </w:rPr>
        <w:instrText>ADDIN CSL_CITATION {"citationItems":[{"id":"ITEM-1","itemData":{"author":[{"dropping-particle":"","family":"Azra","given":"A.","non-dropping-particle":"","parse-names":false,"suffix":""}],"id":"ITEM-1","issued":{"date-parts":[["2019"]]},"number-of-pages":"23","publisher":"Kencana","publisher-place":"Jakarta","title":"Pendidikan Islam: Tradisi dan Modernisasi Menuju Milenium Baru. Jakarta: Logos Wacana Ilmu.","type":"book"},"uris":["http://www.mendeley.com/documents/?uuid=cea9ce68-01e6-4e15-9b54-c73e5dc9507c"]}],"mendeley":{"formattedCitation":"(Azra, 2019)","plainTextFormattedCitation":"(Azra, 2019)","previouslyFormattedCitation":"(Azra, 2019)"},"properties":{"noteIndex":0},"schema":"https://github.com/citation-style-language/schema/raw/master/csl-citation.json"}</w:instrText>
      </w:r>
      <w:r w:rsidR="00DF1309" w:rsidRPr="00532A03">
        <w:rPr>
          <w:rFonts w:asciiTheme="majorBidi" w:eastAsia="Times New Roman" w:hAnsiTheme="majorBidi" w:cstheme="majorBidi"/>
          <w:sz w:val="22"/>
          <w:szCs w:val="22"/>
          <w:lang w:val="id-ID" w:eastAsia="id-ID"/>
        </w:rPr>
        <w:fldChar w:fldCharType="separate"/>
      </w:r>
      <w:r w:rsidR="00310DA5" w:rsidRPr="00310DA5">
        <w:rPr>
          <w:rFonts w:asciiTheme="majorBidi" w:eastAsia="Times New Roman" w:hAnsiTheme="majorBidi" w:cstheme="majorBidi"/>
          <w:noProof/>
          <w:sz w:val="22"/>
          <w:szCs w:val="22"/>
          <w:lang w:val="id-ID" w:eastAsia="id-ID"/>
        </w:rPr>
        <w:t>(Azra, 2019)</w:t>
      </w:r>
      <w:r w:rsidR="00DF1309" w:rsidRPr="00532A03">
        <w:rPr>
          <w:rFonts w:asciiTheme="majorBidi" w:eastAsia="Times New Roman" w:hAnsiTheme="majorBidi" w:cstheme="majorBidi"/>
          <w:sz w:val="22"/>
          <w:szCs w:val="22"/>
          <w:lang w:val="id-ID" w:eastAsia="id-ID"/>
        </w:rPr>
        <w:fldChar w:fldCharType="end"/>
      </w:r>
      <w:r w:rsidRPr="00532A03">
        <w:rPr>
          <w:rFonts w:asciiTheme="majorBidi" w:eastAsia="Times New Roman" w:hAnsiTheme="majorBidi" w:cstheme="majorBidi"/>
          <w:sz w:val="22"/>
          <w:szCs w:val="22"/>
          <w:lang w:val="id-ID" w:eastAsia="id-ID"/>
        </w:rPr>
        <w:t>.</w:t>
      </w:r>
    </w:p>
    <w:p w14:paraId="0EB58F06" w14:textId="3E877C6D" w:rsidR="00A15749" w:rsidRPr="00532A03" w:rsidRDefault="00A15749" w:rsidP="00A15749">
      <w:pPr>
        <w:spacing w:line="360" w:lineRule="auto"/>
        <w:ind w:firstLine="720"/>
        <w:rPr>
          <w:rFonts w:asciiTheme="majorBidi" w:eastAsia="Times New Roman" w:hAnsiTheme="majorBidi" w:cstheme="majorBidi"/>
          <w:sz w:val="22"/>
          <w:szCs w:val="22"/>
          <w:lang w:val="id-ID" w:eastAsia="id-ID"/>
        </w:rPr>
      </w:pPr>
      <w:r w:rsidRPr="00532A03">
        <w:rPr>
          <w:rFonts w:asciiTheme="majorBidi" w:eastAsia="Times New Roman" w:hAnsiTheme="majorBidi" w:cstheme="majorBidi"/>
          <w:sz w:val="22"/>
          <w:szCs w:val="22"/>
          <w:lang w:val="id-ID" w:eastAsia="id-ID"/>
        </w:rPr>
        <w:t xml:space="preserve">Urgensi penelitian ini terletak pada kebutuhan mendesak untuk memastikan agar tradisi </w:t>
      </w:r>
      <w:r w:rsidRPr="00532A03">
        <w:rPr>
          <w:rFonts w:asciiTheme="majorBidi" w:eastAsia="Times New Roman" w:hAnsiTheme="majorBidi" w:cstheme="majorBidi"/>
          <w:sz w:val="22"/>
          <w:szCs w:val="22"/>
          <w:lang w:val="id-ID" w:eastAsia="id-ID"/>
        </w:rPr>
        <w:lastRenderedPageBreak/>
        <w:t xml:space="preserve">pendidikan kitab kuning tidak sekadar bertahan, tetapi juga berkembang sesuai dengan standar mutu pendidikan yang diakui secara formal. Tanpa adanya mekanisme akreditasi yang kuat, terdapat risiko berkurangnya relevansi dayah di mata masyarakat modern dan menurunnya daya saing lulusan di ruang publik </w:t>
      </w:r>
      <w:r w:rsidR="00A74B65" w:rsidRPr="00532A03">
        <w:rPr>
          <w:rFonts w:asciiTheme="majorBidi" w:eastAsia="Times New Roman" w:hAnsiTheme="majorBidi" w:cstheme="majorBidi"/>
          <w:sz w:val="22"/>
          <w:szCs w:val="22"/>
          <w:lang w:val="id-ID" w:eastAsia="id-ID"/>
        </w:rPr>
        <w:fldChar w:fldCharType="begin" w:fldLock="1"/>
      </w:r>
      <w:r w:rsidR="00497C07">
        <w:rPr>
          <w:rFonts w:asciiTheme="majorBidi" w:eastAsia="Times New Roman" w:hAnsiTheme="majorBidi" w:cstheme="majorBidi"/>
          <w:sz w:val="22"/>
          <w:szCs w:val="22"/>
          <w:lang w:val="id-ID" w:eastAsia="id-ID"/>
        </w:rPr>
        <w:instrText>ADDIN CSL_CITATION {"citationItems":[{"id":"ITEM-1","itemData":{"ISBN":"9786238051588","abstract":"Arifuddin Arif, Pengantar Ilmu Pendidikan Islam, Jakarta: Kultura, 2008","author":[{"dropping-particle":"","family":"Hasbullah","given":"","non-dropping-particle":"","parse-names":false,"suffix":""}],"container-title":"Global Eksekutif …","id":"ITEM-1","issue":"June","issued":{"date-parts":[["2017"]]},"number-of-pages":"152","publisher":"Raja Grafindo Persada","publisher-place":"Jakarta","title":"Dasar-Dasar Ilmu Pendidikan: Hakikat Ilmu Pendidikan","type":"book"},"uris":["http://www.mendeley.com/documents/?uuid=3bd7e96f-7b6b-4eec-b367-49ed77d86bb2"]},{"id":"ITEM-2","itemData":{"abstract":"… Penelitian ini bertujuan untuk mengkaji kebijakan pendidikan akhlak berbasis kitab kuning di Pesma An Najah dan PPTQ Ibnu Mas’ud, meliputi bentuk, implementasi, dan evaluasinya …","author":[{"dropping-particle":"","family":"Saifullah","given":"Ammar","non-dropping-particle":"","parse-names":false,"suffix":""},{"dropping-particle":"","family":"Studi","given":"Program","non-dropping-particle":"","parse-names":false,"suffix":""},{"dropping-particle":"","family":"Pendidikan","given":"Manajemen","non-dropping-particle":"","parse-names":false,"suffix":""},{"dropping-particle":"","family":"Islam","given":"Universitas","non-dropping-particle":"","parse-names":false,"suffix":""},{"dropping-particle":"","family":"Profesor","given":"Negeri","non-dropping-particle":"","parse-names":false,"suffix":""},{"dropping-particle":"","family":"Saifuddin","given":"K H","non-dropping-particle":"","parse-names":false,"suffix":""}],"id":"ITEM-2","issued":{"date-parts":[["2025"]]},"title":"Kebijakan Pendidikan Akhlak Berbasis Kitab Kuning Di Pesantren Mahasiswa an Najah Dan Pondok Pesantren Ibnu Mas’Ud: Kajian Living Text","type":"article-journal"},"uris":["http://www.mendeley.com/documents/?uuid=98c7cf35-c221-40b8-9ba4-722089741f7c"]}],"mendeley":{"formattedCitation":"(Hasbullah, 2017; Saifullah et al., 2025)","plainTextFormattedCitation":"(Hasbullah, 2017; Saifullah et al., 2025)","previouslyFormattedCitation":"(Hasbullah, 2017; Saifullah et al., 2025)"},"properties":{"noteIndex":0},"schema":"https://github.com/citation-style-language/schema/raw/master/csl-citation.json"}</w:instrText>
      </w:r>
      <w:r w:rsidR="00A74B65" w:rsidRPr="00532A03">
        <w:rPr>
          <w:rFonts w:asciiTheme="majorBidi" w:eastAsia="Times New Roman" w:hAnsiTheme="majorBidi" w:cstheme="majorBidi"/>
          <w:sz w:val="22"/>
          <w:szCs w:val="22"/>
          <w:lang w:val="id-ID" w:eastAsia="id-ID"/>
        </w:rPr>
        <w:fldChar w:fldCharType="separate"/>
      </w:r>
      <w:r w:rsidR="00A74B65" w:rsidRPr="00532A03">
        <w:rPr>
          <w:rFonts w:asciiTheme="majorBidi" w:eastAsia="Times New Roman" w:hAnsiTheme="majorBidi" w:cstheme="majorBidi"/>
          <w:noProof/>
          <w:sz w:val="22"/>
          <w:szCs w:val="22"/>
          <w:lang w:val="id-ID" w:eastAsia="id-ID"/>
        </w:rPr>
        <w:t>(Hasbullah, 2017; Saifullah et al., 2025)</w:t>
      </w:r>
      <w:r w:rsidR="00A74B65" w:rsidRPr="00532A03">
        <w:rPr>
          <w:rFonts w:asciiTheme="majorBidi" w:eastAsia="Times New Roman" w:hAnsiTheme="majorBidi" w:cstheme="majorBidi"/>
          <w:sz w:val="22"/>
          <w:szCs w:val="22"/>
          <w:lang w:val="id-ID" w:eastAsia="id-ID"/>
        </w:rPr>
        <w:fldChar w:fldCharType="end"/>
      </w:r>
      <w:r w:rsidRPr="00532A03">
        <w:rPr>
          <w:rFonts w:asciiTheme="majorBidi" w:eastAsia="Times New Roman" w:hAnsiTheme="majorBidi" w:cstheme="majorBidi"/>
          <w:sz w:val="22"/>
          <w:szCs w:val="22"/>
          <w:lang w:val="id-ID" w:eastAsia="id-ID"/>
        </w:rPr>
        <w:t>. Dengan demikian, analisis mengenai dampak akreditasi BADA terhadap peningkatan kualitas pembelajaran kitab kuning menjadi sangat penting, tidak hanya bagi keberlangsungan dayah, tetapi juga bagi pembangunan pendidikan Islam di Aceh secara lebih luas.</w:t>
      </w:r>
    </w:p>
    <w:p w14:paraId="16125FD7" w14:textId="77777777" w:rsidR="00A15749" w:rsidRPr="00A15749" w:rsidRDefault="00A15749" w:rsidP="00532A03">
      <w:pPr>
        <w:pBdr>
          <w:top w:val="nil"/>
          <w:left w:val="nil"/>
          <w:bottom w:val="nil"/>
          <w:right w:val="nil"/>
          <w:between w:val="nil"/>
        </w:pBdr>
        <w:spacing w:line="360" w:lineRule="auto"/>
        <w:ind w:firstLine="425"/>
        <w:rPr>
          <w:rFonts w:eastAsia="Times New Roman"/>
          <w:color w:val="000000"/>
          <w:sz w:val="22"/>
          <w:szCs w:val="22"/>
          <w:lang w:val="id-ID"/>
        </w:rPr>
      </w:pPr>
    </w:p>
    <w:p w14:paraId="078EC046" w14:textId="77777777" w:rsidR="00A41870" w:rsidRPr="00C327CE" w:rsidRDefault="00B16F2E" w:rsidP="00532A03">
      <w:pPr>
        <w:pBdr>
          <w:top w:val="nil"/>
          <w:left w:val="nil"/>
          <w:bottom w:val="nil"/>
          <w:right w:val="nil"/>
          <w:between w:val="nil"/>
        </w:pBdr>
        <w:spacing w:line="360" w:lineRule="auto"/>
        <w:ind w:firstLine="0"/>
        <w:rPr>
          <w:rFonts w:eastAsia="Times New Roman"/>
          <w:b/>
          <w:color w:val="000000"/>
          <w:lang w:val="sv-SE"/>
        </w:rPr>
      </w:pPr>
      <w:r w:rsidRPr="00C327CE">
        <w:rPr>
          <w:rFonts w:eastAsia="Times New Roman"/>
          <w:b/>
          <w:color w:val="000000"/>
          <w:lang w:val="sv-SE"/>
        </w:rPr>
        <w:t xml:space="preserve">METODE PENELITIAN </w:t>
      </w:r>
    </w:p>
    <w:p w14:paraId="6148A2AB" w14:textId="77777777" w:rsidR="00A15749" w:rsidRPr="00A9296B" w:rsidRDefault="00A15749" w:rsidP="00A15749">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Jenis dan Pendekatan Penelitian</w:t>
      </w:r>
    </w:p>
    <w:p w14:paraId="3A9576F4" w14:textId="3C5398FA"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 xml:space="preserve">Penelitian ini menggunakan </w:t>
      </w:r>
      <w:r w:rsidRPr="00A74B65">
        <w:rPr>
          <w:rStyle w:val="Strong"/>
          <w:rFonts w:asciiTheme="majorBidi" w:hAnsiTheme="majorBidi" w:cstheme="majorBidi"/>
          <w:b w:val="0"/>
          <w:bCs w:val="0"/>
          <w:sz w:val="22"/>
          <w:szCs w:val="22"/>
          <w:lang w:val="sv-SE"/>
        </w:rPr>
        <w:t>pendekatan kualitatif dengan jenis deskriptif</w:t>
      </w:r>
      <w:r w:rsidRPr="00497C07">
        <w:rPr>
          <w:rFonts w:asciiTheme="majorBidi" w:hAnsiTheme="majorBidi" w:cstheme="majorBidi"/>
          <w:sz w:val="22"/>
          <w:szCs w:val="22"/>
          <w:lang w:val="sv-SE"/>
        </w:rPr>
        <w:t xml:space="preserve">. </w:t>
      </w:r>
      <w:r w:rsidRPr="00A9296B">
        <w:rPr>
          <w:rFonts w:asciiTheme="majorBidi" w:hAnsiTheme="majorBidi" w:cstheme="majorBidi"/>
          <w:sz w:val="22"/>
          <w:szCs w:val="22"/>
          <w:lang w:val="sv-SE"/>
        </w:rPr>
        <w:t>Pendekatan kualitatif dipilih karena fokus penelitian adalah memahami makna, proses, serta dampak akreditasi terhadap peningkatan kualitas pembelajaran kitab kuning di dayah Aceh. Penelitian kualitatif memungkinkan peneliti menggali data secara mendalam melalui interaksi langsung dengan informan sehingga dapat menangkap realitas sosial sebagaimana adanya</w:t>
      </w:r>
      <w:r w:rsidR="00497C07">
        <w:rPr>
          <w:rFonts w:asciiTheme="majorBidi" w:hAnsiTheme="majorBidi" w:cstheme="majorBidi"/>
          <w:sz w:val="22"/>
          <w:szCs w:val="22"/>
          <w:lang w:val="sv-SE"/>
        </w:rPr>
        <w:t xml:space="preserve"> </w:t>
      </w:r>
      <w:r w:rsidR="00497C07">
        <w:rPr>
          <w:rFonts w:asciiTheme="majorBidi" w:hAnsiTheme="majorBidi" w:cstheme="majorBidi"/>
          <w:sz w:val="22"/>
          <w:szCs w:val="22"/>
          <w:lang w:val="sv-SE"/>
        </w:rPr>
        <w:fldChar w:fldCharType="begin" w:fldLock="1"/>
      </w:r>
      <w:r w:rsidR="00E56CA3">
        <w:rPr>
          <w:rFonts w:asciiTheme="majorBidi" w:hAnsiTheme="majorBidi" w:cstheme="majorBidi"/>
          <w:sz w:val="22"/>
          <w:szCs w:val="22"/>
          <w:lang w:val="sv-SE"/>
        </w:rPr>
        <w:instrText>ADDIN CSL_CITATION {"citationItems":[{"id":"ITEM-1","itemData":{"abstract":"J. Cresswell. (2007). Qualitative Inquiry &amp; Research Design: choosing among five approaches. Thousand Oaks, CA: Sage.","author":[{"dropping-particle":"","family":"J. Cresswell","given":"","non-dropping-particle":"","parse-names":false,"suffix":""}],"id":"ITEM-1","issued":{"date-parts":[["2007"]]},"publisher":"SAGE","publisher-place":"Thousand Oaks, CA","title":"Qualitative Inquiry &amp; Research Design: Choosing Among Five Approaches","type":"book"},"uris":["http://www.mendeley.com/documents/?uuid=d9a59fb8-07a2-4abc-8bc8-6c29e98885ab"]},{"id":"ITEM-2","itemData":{"ISSN":"2716-4055","author":[{"dropping-particle":"","family":"Muid","given":"Abdul","non-dropping-particle":"","parse-names":false,"suffix":""},{"dropping-particle":"","family":"Habsy","given":"Ahmad Nur Muhammad Ali","non-dropping-particle":"","parse-names":false,"suffix":""},{"dropping-particle":"","family":"Shofiyanah","given":"Dhona","non-dropping-particle":"","parse-names":false,"suffix":""},{"dropping-particle":"","family":"Hidayatullah","given":"M Putra Nur","non-dropping-particle":"","parse-names":false,"suffix":""}],"container-title":"Jurnal Ilmu Pengetahuan dan Pendidikan Islam","id":"ITEM-2","issue":"15","issued":{"date-parts":[["2025"]]},"page":"51-55","title":"Menganalisis Data Kualitatif","type":"article-journal","volume":"15"},"uris":["http://www.mendeley.com/documents/?uuid=9a4e36b0-3048-4671-bfa5-800622a33f7c"]}],"mendeley":{"formattedCitation":"(J. Cresswell, 2007; Muid et al., 2025)","plainTextFormattedCitation":"(J. Cresswell, 2007; Muid et al., 2025)","previouslyFormattedCitation":"(J. Cresswell, 2007)"},"properties":{"noteIndex":0},"schema":"https://github.com/citation-style-language/schema/raw/master/csl-citation.json"}</w:instrText>
      </w:r>
      <w:r w:rsidR="00497C07">
        <w:rPr>
          <w:rFonts w:asciiTheme="majorBidi" w:hAnsiTheme="majorBidi" w:cstheme="majorBidi"/>
          <w:sz w:val="22"/>
          <w:szCs w:val="22"/>
          <w:lang w:val="sv-SE"/>
        </w:rPr>
        <w:fldChar w:fldCharType="separate"/>
      </w:r>
      <w:r w:rsidR="00E56CA3" w:rsidRPr="00E56CA3">
        <w:rPr>
          <w:rFonts w:asciiTheme="majorBidi" w:hAnsiTheme="majorBidi" w:cstheme="majorBidi"/>
          <w:noProof/>
          <w:sz w:val="22"/>
          <w:szCs w:val="22"/>
          <w:lang w:val="sv-SE"/>
        </w:rPr>
        <w:t>(J. Cresswell, 2007; Muid et al., 2025)</w:t>
      </w:r>
      <w:r w:rsidR="00497C07">
        <w:rPr>
          <w:rFonts w:asciiTheme="majorBidi" w:hAnsiTheme="majorBidi" w:cstheme="majorBidi"/>
          <w:sz w:val="22"/>
          <w:szCs w:val="22"/>
          <w:lang w:val="sv-SE"/>
        </w:rPr>
        <w:fldChar w:fldCharType="end"/>
      </w:r>
      <w:r w:rsidRPr="00A9296B">
        <w:rPr>
          <w:rFonts w:asciiTheme="majorBidi" w:hAnsiTheme="majorBidi" w:cstheme="majorBidi"/>
          <w:sz w:val="22"/>
          <w:szCs w:val="22"/>
          <w:lang w:val="sv-SE"/>
        </w:rPr>
        <w:t>. Sifat deskriptif digunakan untuk memberikan gambaran faktual mengenai bagaimana akreditasi Badan Akreditasi Dayah Aceh (BADA) berimplikasi pada pengelolaan kurikulum, profesionalisme guru, serta pengalaman santri dalam pembelajaran kitab kuning.</w:t>
      </w:r>
    </w:p>
    <w:p w14:paraId="130139A6" w14:textId="77777777" w:rsidR="00A15749" w:rsidRPr="00A9296B" w:rsidRDefault="00A15749" w:rsidP="00A9296B">
      <w:pPr>
        <w:pStyle w:val="NormalWeb"/>
        <w:spacing w:before="0" w:beforeAutospacing="0" w:after="0" w:afterAutospacing="0" w:line="360" w:lineRule="auto"/>
        <w:jc w:val="both"/>
        <w:rPr>
          <w:rFonts w:asciiTheme="majorBidi" w:hAnsiTheme="majorBidi" w:cstheme="majorBidi"/>
          <w:sz w:val="22"/>
          <w:szCs w:val="22"/>
          <w:lang w:val="sv-SE"/>
        </w:rPr>
      </w:pPr>
    </w:p>
    <w:p w14:paraId="310D41F7" w14:textId="77777777" w:rsidR="00A15749" w:rsidRPr="00A9296B" w:rsidRDefault="00A15749" w:rsidP="00A9296B">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Sumber Data</w:t>
      </w:r>
    </w:p>
    <w:p w14:paraId="64A85E18" w14:textId="1869E838"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rPr>
      </w:pPr>
      <w:r w:rsidRPr="00A9296B">
        <w:rPr>
          <w:rFonts w:asciiTheme="majorBidi" w:hAnsiTheme="majorBidi" w:cstheme="majorBidi"/>
          <w:sz w:val="22"/>
          <w:szCs w:val="22"/>
        </w:rPr>
        <w:t xml:space="preserve">Data penelitian diperoleh dari dua sumber utama, </w:t>
      </w:r>
      <w:r w:rsidR="004A68AD">
        <w:rPr>
          <w:rFonts w:asciiTheme="majorBidi" w:hAnsiTheme="majorBidi" w:cstheme="majorBidi"/>
          <w:sz w:val="22"/>
          <w:szCs w:val="22"/>
        </w:rPr>
        <w:fldChar w:fldCharType="begin" w:fldLock="1"/>
      </w:r>
      <w:r w:rsidR="004A68AD">
        <w:rPr>
          <w:rFonts w:asciiTheme="majorBidi" w:hAnsiTheme="majorBidi" w:cstheme="majorBidi"/>
          <w:sz w:val="22"/>
          <w:szCs w:val="22"/>
        </w:rPr>
        <w:instrText>ADDIN CSL_CITATION {"citationItems":[{"id":"ITEM-1","itemData":{"ISBN":"9781452257877","author":[{"dropping-particle":"","family":"Matthew B, A. Michael Huberman","given":"Jhonny Saldana","non-dropping-particle":"","parse-names":false,"suffix":""}],"id":"ITEM-1","issued":{"date-parts":[["2014"]]},"publisher":"SAGE","publisher-place":"Thousand Oaks, CA","title":"Qualitative Data Analysis A Methods Sourcebook","type":"book"},"uris":["http://www.mendeley.com/documents/?uuid=da7c9107-59a9-4532-904e-ab366f1f6100"]}],"mendeley":{"formattedCitation":"(Matthew B, A. Michael Huberman, 2014)","plainTextFormattedCitation":"(Matthew B, A. Michael Huberman, 2014)","previouslyFormattedCitation":"(Matthew B, A. Michael Huberman, 2014)"},"properties":{"noteIndex":0},"schema":"https://github.com/citation-style-language/schema/raw/master/csl-citation.json"}</w:instrText>
      </w:r>
      <w:r w:rsidR="004A68AD">
        <w:rPr>
          <w:rFonts w:asciiTheme="majorBidi" w:hAnsiTheme="majorBidi" w:cstheme="majorBidi"/>
          <w:sz w:val="22"/>
          <w:szCs w:val="22"/>
        </w:rPr>
        <w:fldChar w:fldCharType="separate"/>
      </w:r>
      <w:r w:rsidR="004A68AD" w:rsidRPr="004A68AD">
        <w:rPr>
          <w:rFonts w:asciiTheme="majorBidi" w:hAnsiTheme="majorBidi" w:cstheme="majorBidi"/>
          <w:noProof/>
          <w:sz w:val="22"/>
          <w:szCs w:val="22"/>
        </w:rPr>
        <w:t>(Matthew B, A. Michael Huberman, 2014)</w:t>
      </w:r>
      <w:r w:rsidR="004A68AD">
        <w:rPr>
          <w:rFonts w:asciiTheme="majorBidi" w:hAnsiTheme="majorBidi" w:cstheme="majorBidi"/>
          <w:sz w:val="22"/>
          <w:szCs w:val="22"/>
        </w:rPr>
        <w:fldChar w:fldCharType="end"/>
      </w:r>
      <w:r w:rsidR="004A68AD">
        <w:rPr>
          <w:rFonts w:asciiTheme="majorBidi" w:hAnsiTheme="majorBidi" w:cstheme="majorBidi"/>
          <w:sz w:val="22"/>
          <w:szCs w:val="22"/>
        </w:rPr>
        <w:t xml:space="preserve"> </w:t>
      </w:r>
      <w:r w:rsidRPr="00A9296B">
        <w:rPr>
          <w:rFonts w:asciiTheme="majorBidi" w:hAnsiTheme="majorBidi" w:cstheme="majorBidi"/>
          <w:sz w:val="22"/>
          <w:szCs w:val="22"/>
        </w:rPr>
        <w:t>yaitu:</w:t>
      </w:r>
    </w:p>
    <w:p w14:paraId="2A2EB5DB" w14:textId="77777777" w:rsidR="00A15749" w:rsidRPr="00A9296B" w:rsidRDefault="00A15749" w:rsidP="00A15749">
      <w:pPr>
        <w:pStyle w:val="NormalWeb"/>
        <w:numPr>
          <w:ilvl w:val="0"/>
          <w:numId w:val="3"/>
        </w:numPr>
        <w:spacing w:before="0" w:beforeAutospacing="0" w:after="0" w:afterAutospacing="0" w:line="360" w:lineRule="auto"/>
        <w:jc w:val="both"/>
        <w:rPr>
          <w:rFonts w:asciiTheme="majorBidi" w:hAnsiTheme="majorBidi" w:cstheme="majorBidi"/>
          <w:sz w:val="22"/>
          <w:szCs w:val="22"/>
        </w:rPr>
      </w:pPr>
      <w:r w:rsidRPr="004A68AD">
        <w:rPr>
          <w:rStyle w:val="Strong"/>
          <w:rFonts w:asciiTheme="majorBidi" w:hAnsiTheme="majorBidi" w:cstheme="majorBidi"/>
          <w:b w:val="0"/>
          <w:bCs w:val="0"/>
          <w:sz w:val="22"/>
          <w:szCs w:val="22"/>
        </w:rPr>
        <w:t>Data primer</w:t>
      </w:r>
      <w:r w:rsidRPr="00A9296B">
        <w:rPr>
          <w:rFonts w:asciiTheme="majorBidi" w:hAnsiTheme="majorBidi" w:cstheme="majorBidi"/>
          <w:sz w:val="22"/>
          <w:szCs w:val="22"/>
        </w:rPr>
        <w:t>, berupa hasil wawancara mendalam dengan pihak-pihak yang terlibat langsung dalam proses akreditasi dayah, seperti Majelis Akreditasi Dayah Aceh, pimpinan dayah, guru kitab kuning, dan santri.</w:t>
      </w:r>
    </w:p>
    <w:p w14:paraId="5D03650E" w14:textId="77777777" w:rsidR="00A15749" w:rsidRPr="00A9296B" w:rsidRDefault="00A15749" w:rsidP="00A15749">
      <w:pPr>
        <w:pStyle w:val="NormalWeb"/>
        <w:numPr>
          <w:ilvl w:val="0"/>
          <w:numId w:val="3"/>
        </w:numPr>
        <w:spacing w:before="0" w:beforeAutospacing="0" w:after="0" w:afterAutospacing="0" w:line="360" w:lineRule="auto"/>
        <w:jc w:val="both"/>
        <w:rPr>
          <w:rFonts w:asciiTheme="majorBidi" w:hAnsiTheme="majorBidi" w:cstheme="majorBidi"/>
          <w:sz w:val="22"/>
          <w:szCs w:val="22"/>
          <w:lang w:val="sv-SE"/>
        </w:rPr>
      </w:pPr>
      <w:r w:rsidRPr="004A68AD">
        <w:rPr>
          <w:rStyle w:val="Strong"/>
          <w:rFonts w:asciiTheme="majorBidi" w:hAnsiTheme="majorBidi" w:cstheme="majorBidi"/>
          <w:b w:val="0"/>
          <w:bCs w:val="0"/>
          <w:sz w:val="22"/>
          <w:szCs w:val="22"/>
          <w:lang w:val="sv-SE"/>
        </w:rPr>
        <w:t>Data sekunder</w:t>
      </w:r>
      <w:r w:rsidRPr="00A9296B">
        <w:rPr>
          <w:rFonts w:asciiTheme="majorBidi" w:hAnsiTheme="majorBidi" w:cstheme="majorBidi"/>
          <w:sz w:val="22"/>
          <w:szCs w:val="22"/>
          <w:lang w:val="sv-SE"/>
        </w:rPr>
        <w:t>, berupa dokumen resmi BADA, peraturan pemerintah terkait kurikulum dayah, laporan hasil akreditasi, serta literatur ilmiah mengenai pendidikan dayah dan pesantren.</w:t>
      </w:r>
    </w:p>
    <w:p w14:paraId="6648A366" w14:textId="77777777" w:rsidR="00A15749" w:rsidRPr="00A9296B" w:rsidRDefault="00A15749" w:rsidP="00A15749">
      <w:pPr>
        <w:pStyle w:val="NormalWeb"/>
        <w:spacing w:before="0" w:beforeAutospacing="0" w:after="0" w:afterAutospacing="0" w:line="360" w:lineRule="auto"/>
        <w:ind w:left="720"/>
        <w:rPr>
          <w:rFonts w:asciiTheme="majorBidi" w:hAnsiTheme="majorBidi" w:cstheme="majorBidi"/>
          <w:sz w:val="22"/>
          <w:szCs w:val="22"/>
          <w:lang w:val="sv-SE"/>
        </w:rPr>
      </w:pPr>
    </w:p>
    <w:p w14:paraId="0BB16DAE" w14:textId="77777777" w:rsidR="00A15749" w:rsidRPr="00A9296B" w:rsidRDefault="00A15749" w:rsidP="00A9296B">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Informan Penelitian</w:t>
      </w:r>
    </w:p>
    <w:p w14:paraId="30C955B9" w14:textId="7AF5FF8A"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 xml:space="preserve">Informan ditentukan dengan </w:t>
      </w:r>
      <w:r w:rsidRPr="007E7626">
        <w:rPr>
          <w:rStyle w:val="Strong"/>
          <w:rFonts w:asciiTheme="majorBidi" w:hAnsiTheme="majorBidi" w:cstheme="majorBidi"/>
          <w:b w:val="0"/>
          <w:bCs w:val="0"/>
          <w:sz w:val="22"/>
          <w:szCs w:val="22"/>
          <w:lang w:val="sv-SE"/>
        </w:rPr>
        <w:t>teknik purposive sampling</w:t>
      </w:r>
      <w:r w:rsidRPr="00A9296B">
        <w:rPr>
          <w:rFonts w:asciiTheme="majorBidi" w:hAnsiTheme="majorBidi" w:cstheme="majorBidi"/>
          <w:sz w:val="22"/>
          <w:szCs w:val="22"/>
          <w:lang w:val="sv-SE"/>
        </w:rPr>
        <w:t xml:space="preserve">, yaitu pemilihan informan berdasarkan pertimbangan tertentu sesuai kebutuhan penelitian </w:t>
      </w:r>
      <w:r w:rsidR="004A68AD">
        <w:rPr>
          <w:rFonts w:asciiTheme="majorBidi" w:hAnsiTheme="majorBidi" w:cstheme="majorBidi"/>
          <w:sz w:val="22"/>
          <w:szCs w:val="22"/>
          <w:lang w:val="sv-SE"/>
        </w:rPr>
        <w:fldChar w:fldCharType="begin" w:fldLock="1"/>
      </w:r>
      <w:r w:rsidR="004827B2">
        <w:rPr>
          <w:rFonts w:asciiTheme="majorBidi" w:hAnsiTheme="majorBidi" w:cstheme="majorBidi"/>
          <w:sz w:val="22"/>
          <w:szCs w:val="22"/>
          <w:lang w:val="sv-SE"/>
        </w:rPr>
        <w:instrText>ADDIN CSL_CITATION {"citationItems":[{"id":"ITEM-1","itemData":{"author":[{"dropping-particle":"","family":"Miles, Matthew B., A.M. Huberman","given":"dan J. Saldana","non-dropping-particle":"","parse-names":false,"suffix":""}],"edition":"3rd","id":"ITEM-1","issued":{"date-parts":[["2014"]]},"publisher":"Sage Publications","publisher-place":"Thousand Oaks, CA","title":"Qualitative Data Analysis (A Methods Sourcebook)","type":"book"},"uris":["http://www.mendeley.com/documents/?uuid=8e71838c-3aea-45ec-8ef0-536125cf380a"]}],"mendeley":{"formattedCitation":"(Miles, Matthew B., A.M. Huberman, 2014)","plainTextFormattedCitation":"(Miles, Matthew B., A.M. Huberman, 2014)","previouslyFormattedCitation":"(Miles, Matthew B., A.M. Huberman, 2014)"},"properties":{"noteIndex":0},"schema":"https://github.com/citation-style-language/schema/raw/master/csl-citation.json"}</w:instrText>
      </w:r>
      <w:r w:rsidR="004A68AD">
        <w:rPr>
          <w:rFonts w:asciiTheme="majorBidi" w:hAnsiTheme="majorBidi" w:cstheme="majorBidi"/>
          <w:sz w:val="22"/>
          <w:szCs w:val="22"/>
          <w:lang w:val="sv-SE"/>
        </w:rPr>
        <w:fldChar w:fldCharType="separate"/>
      </w:r>
      <w:r w:rsidR="004A68AD" w:rsidRPr="004A68AD">
        <w:rPr>
          <w:rFonts w:asciiTheme="majorBidi" w:hAnsiTheme="majorBidi" w:cstheme="majorBidi"/>
          <w:noProof/>
          <w:sz w:val="22"/>
          <w:szCs w:val="22"/>
          <w:lang w:val="sv-SE"/>
        </w:rPr>
        <w:t>(Miles, Matthew B., A.M. Huberman, 2014)</w:t>
      </w:r>
      <w:r w:rsidR="004A68AD">
        <w:rPr>
          <w:rFonts w:asciiTheme="majorBidi" w:hAnsiTheme="majorBidi" w:cstheme="majorBidi"/>
          <w:sz w:val="22"/>
          <w:szCs w:val="22"/>
          <w:lang w:val="sv-SE"/>
        </w:rPr>
        <w:fldChar w:fldCharType="end"/>
      </w:r>
      <w:r w:rsidRPr="00A9296B">
        <w:rPr>
          <w:rFonts w:asciiTheme="majorBidi" w:hAnsiTheme="majorBidi" w:cstheme="majorBidi"/>
          <w:sz w:val="22"/>
          <w:szCs w:val="22"/>
          <w:lang w:val="sv-SE"/>
        </w:rPr>
        <w:t>. Kriteria informan meliputi keterlibatan langsung dalam akreditasi, pemahaman tentang pembelajaran kitab kuning, dan pengalaman dalam manajemen dayah.</w:t>
      </w:r>
    </w:p>
    <w:p w14:paraId="36EA65D0" w14:textId="77777777" w:rsidR="00A15749" w:rsidRPr="00A9296B" w:rsidRDefault="00A15749" w:rsidP="00A15749">
      <w:pPr>
        <w:pStyle w:val="NormalWeb"/>
        <w:spacing w:before="0" w:beforeAutospacing="0" w:after="0" w:afterAutospacing="0"/>
        <w:jc w:val="center"/>
        <w:rPr>
          <w:rStyle w:val="Strong"/>
          <w:rFonts w:asciiTheme="majorBidi" w:hAnsiTheme="majorBidi" w:cstheme="majorBidi"/>
          <w:sz w:val="22"/>
          <w:szCs w:val="22"/>
        </w:rPr>
      </w:pPr>
      <w:r w:rsidRPr="00A9296B">
        <w:rPr>
          <w:rStyle w:val="Strong"/>
          <w:rFonts w:asciiTheme="majorBidi" w:hAnsiTheme="majorBidi" w:cstheme="majorBidi"/>
          <w:sz w:val="22"/>
          <w:szCs w:val="22"/>
        </w:rPr>
        <w:t xml:space="preserve">Tabel 1. </w:t>
      </w:r>
    </w:p>
    <w:p w14:paraId="59509A9A" w14:textId="77777777" w:rsidR="00A15749" w:rsidRPr="00A9296B" w:rsidRDefault="00A15749" w:rsidP="00A15749">
      <w:pPr>
        <w:pStyle w:val="NormalWeb"/>
        <w:spacing w:before="0" w:beforeAutospacing="0" w:after="0" w:afterAutospacing="0"/>
        <w:jc w:val="center"/>
        <w:rPr>
          <w:rStyle w:val="Strong"/>
          <w:rFonts w:asciiTheme="majorBidi" w:hAnsiTheme="majorBidi" w:cstheme="majorBidi"/>
          <w:sz w:val="22"/>
          <w:szCs w:val="22"/>
        </w:rPr>
      </w:pPr>
      <w:r w:rsidRPr="00A9296B">
        <w:rPr>
          <w:rStyle w:val="Strong"/>
          <w:rFonts w:asciiTheme="majorBidi" w:hAnsiTheme="majorBidi" w:cstheme="majorBidi"/>
          <w:sz w:val="22"/>
          <w:szCs w:val="22"/>
        </w:rPr>
        <w:t>Informan Penelitian</w:t>
      </w:r>
    </w:p>
    <w:p w14:paraId="0447EF13" w14:textId="77777777" w:rsidR="00A15749" w:rsidRPr="00A9296B" w:rsidRDefault="00A15749" w:rsidP="00A15749">
      <w:pPr>
        <w:pStyle w:val="NormalWeb"/>
        <w:spacing w:before="0" w:beforeAutospacing="0" w:after="0" w:afterAutospacing="0"/>
        <w:rPr>
          <w:rFonts w:asciiTheme="majorBidi" w:hAnsiTheme="majorBidi" w:cstheme="majorBidi"/>
          <w:sz w:val="22"/>
          <w:szCs w:val="22"/>
        </w:rPr>
      </w:pPr>
    </w:p>
    <w:tbl>
      <w:tblPr>
        <w:tblStyle w:val="PlainTable2"/>
        <w:tblW w:w="8907" w:type="dxa"/>
        <w:tblLook w:val="04A0" w:firstRow="1" w:lastRow="0" w:firstColumn="1" w:lastColumn="0" w:noHBand="0" w:noVBand="1"/>
      </w:tblPr>
      <w:tblGrid>
        <w:gridCol w:w="665"/>
        <w:gridCol w:w="3046"/>
        <w:gridCol w:w="1292"/>
        <w:gridCol w:w="3904"/>
      </w:tblGrid>
      <w:tr w:rsidR="00A9296B" w:rsidRPr="00A9296B" w14:paraId="71590EFF" w14:textId="77777777" w:rsidTr="00A9296B">
        <w:trPr>
          <w:cnfStyle w:val="100000000000" w:firstRow="1" w:lastRow="0" w:firstColumn="0" w:lastColumn="0" w:oddVBand="0" w:evenVBand="0" w:oddHBand="0"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67" w:type="dxa"/>
            <w:hideMark/>
          </w:tcPr>
          <w:p w14:paraId="56AB594F" w14:textId="77777777" w:rsidR="00A15749" w:rsidRPr="00A9296B" w:rsidRDefault="00A15749" w:rsidP="00A9296B">
            <w:pPr>
              <w:jc w:val="center"/>
              <w:rPr>
                <w:rFonts w:asciiTheme="majorBidi" w:hAnsiTheme="majorBidi" w:cstheme="majorBidi"/>
                <w:sz w:val="22"/>
              </w:rPr>
            </w:pPr>
            <w:r w:rsidRPr="00A9296B">
              <w:rPr>
                <w:rFonts w:asciiTheme="majorBidi" w:hAnsiTheme="majorBidi" w:cstheme="majorBidi"/>
                <w:sz w:val="22"/>
              </w:rPr>
              <w:t>No</w:t>
            </w:r>
          </w:p>
        </w:tc>
        <w:tc>
          <w:tcPr>
            <w:tcW w:w="3046" w:type="dxa"/>
            <w:hideMark/>
          </w:tcPr>
          <w:p w14:paraId="068E0864" w14:textId="77777777" w:rsidR="00A15749" w:rsidRPr="00A9296B" w:rsidRDefault="00A15749" w:rsidP="00A9296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Informan</w:t>
            </w:r>
          </w:p>
        </w:tc>
        <w:tc>
          <w:tcPr>
            <w:tcW w:w="1292" w:type="dxa"/>
            <w:hideMark/>
          </w:tcPr>
          <w:p w14:paraId="11E48BE5" w14:textId="77777777" w:rsidR="00A15749" w:rsidRPr="00A9296B" w:rsidRDefault="00A15749" w:rsidP="00A9296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Jumlah</w:t>
            </w:r>
          </w:p>
        </w:tc>
        <w:tc>
          <w:tcPr>
            <w:tcW w:w="0" w:type="auto"/>
            <w:hideMark/>
          </w:tcPr>
          <w:p w14:paraId="07D78013" w14:textId="77777777" w:rsidR="00A15749" w:rsidRPr="00A9296B" w:rsidRDefault="00A15749" w:rsidP="00A9296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Keterangan</w:t>
            </w:r>
          </w:p>
        </w:tc>
      </w:tr>
      <w:tr w:rsidR="00A9296B" w:rsidRPr="00FC5DC3" w14:paraId="27D0E8F3" w14:textId="77777777" w:rsidTr="00A9296B">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567" w:type="dxa"/>
            <w:tcBorders>
              <w:bottom w:val="nil"/>
            </w:tcBorders>
            <w:hideMark/>
          </w:tcPr>
          <w:p w14:paraId="00A15263" w14:textId="77777777" w:rsidR="00A15749" w:rsidRPr="00A9296B" w:rsidRDefault="00A15749" w:rsidP="00A9296B">
            <w:pPr>
              <w:jc w:val="center"/>
              <w:rPr>
                <w:rFonts w:asciiTheme="majorBidi" w:hAnsiTheme="majorBidi" w:cstheme="majorBidi"/>
                <w:b w:val="0"/>
                <w:bCs w:val="0"/>
                <w:sz w:val="22"/>
              </w:rPr>
            </w:pPr>
            <w:r w:rsidRPr="00A9296B">
              <w:rPr>
                <w:rFonts w:asciiTheme="majorBidi" w:hAnsiTheme="majorBidi" w:cstheme="majorBidi"/>
                <w:b w:val="0"/>
                <w:bCs w:val="0"/>
                <w:sz w:val="22"/>
              </w:rPr>
              <w:t>1</w:t>
            </w:r>
          </w:p>
        </w:tc>
        <w:tc>
          <w:tcPr>
            <w:tcW w:w="3046" w:type="dxa"/>
            <w:tcBorders>
              <w:bottom w:val="nil"/>
            </w:tcBorders>
            <w:hideMark/>
          </w:tcPr>
          <w:p w14:paraId="47E25C48"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Dinas Pendidikan Dayah Aceh</w:t>
            </w:r>
          </w:p>
        </w:tc>
        <w:tc>
          <w:tcPr>
            <w:tcW w:w="1292" w:type="dxa"/>
            <w:tcBorders>
              <w:bottom w:val="nil"/>
            </w:tcBorders>
            <w:hideMark/>
          </w:tcPr>
          <w:p w14:paraId="51FB1876"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2 orang</w:t>
            </w:r>
          </w:p>
        </w:tc>
        <w:tc>
          <w:tcPr>
            <w:tcW w:w="0" w:type="auto"/>
            <w:tcBorders>
              <w:bottom w:val="nil"/>
            </w:tcBorders>
            <w:hideMark/>
          </w:tcPr>
          <w:p w14:paraId="28E65829"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lang w:val="sv-SE"/>
              </w:rPr>
            </w:pPr>
            <w:r w:rsidRPr="00A9296B">
              <w:rPr>
                <w:rFonts w:asciiTheme="majorBidi" w:hAnsiTheme="majorBidi" w:cstheme="majorBidi"/>
                <w:sz w:val="22"/>
                <w:lang w:val="sv-SE"/>
              </w:rPr>
              <w:t>Pemerintah Aceh/SKPA yang mebidangi</w:t>
            </w:r>
          </w:p>
        </w:tc>
      </w:tr>
      <w:tr w:rsidR="00A9296B" w:rsidRPr="00A9296B" w14:paraId="154A5A45" w14:textId="77777777" w:rsidTr="00A9296B">
        <w:trPr>
          <w:trHeight w:val="468"/>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tcPr>
          <w:p w14:paraId="148573C5" w14:textId="77777777" w:rsidR="00A15749" w:rsidRPr="00A9296B" w:rsidRDefault="00A15749" w:rsidP="00A9296B">
            <w:pPr>
              <w:jc w:val="center"/>
              <w:rPr>
                <w:rFonts w:asciiTheme="majorBidi" w:hAnsiTheme="majorBidi" w:cstheme="majorBidi"/>
                <w:b w:val="0"/>
                <w:bCs w:val="0"/>
                <w:sz w:val="22"/>
                <w:lang w:val="sv-SE"/>
              </w:rPr>
            </w:pPr>
          </w:p>
        </w:tc>
        <w:tc>
          <w:tcPr>
            <w:tcW w:w="3046" w:type="dxa"/>
            <w:tcBorders>
              <w:top w:val="nil"/>
              <w:bottom w:val="nil"/>
            </w:tcBorders>
          </w:tcPr>
          <w:p w14:paraId="5EB6F69A"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Majelis Akreditasi Dayah Aceh</w:t>
            </w:r>
          </w:p>
        </w:tc>
        <w:tc>
          <w:tcPr>
            <w:tcW w:w="1292" w:type="dxa"/>
            <w:tcBorders>
              <w:top w:val="nil"/>
              <w:bottom w:val="nil"/>
            </w:tcBorders>
          </w:tcPr>
          <w:p w14:paraId="2C1F47F7"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5 orang</w:t>
            </w:r>
          </w:p>
        </w:tc>
        <w:tc>
          <w:tcPr>
            <w:tcW w:w="0" w:type="auto"/>
            <w:tcBorders>
              <w:top w:val="nil"/>
              <w:bottom w:val="nil"/>
            </w:tcBorders>
          </w:tcPr>
          <w:p w14:paraId="47189649"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Anggota yang terlibat dalam proses akreditasi</w:t>
            </w:r>
          </w:p>
        </w:tc>
      </w:tr>
      <w:tr w:rsidR="00A9296B" w:rsidRPr="00FC5DC3" w14:paraId="4244F8D1" w14:textId="77777777" w:rsidTr="00A9296B">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hideMark/>
          </w:tcPr>
          <w:p w14:paraId="6075C42F" w14:textId="77777777" w:rsidR="00A15749" w:rsidRPr="00A9296B" w:rsidRDefault="00A15749" w:rsidP="00A9296B">
            <w:pPr>
              <w:jc w:val="center"/>
              <w:rPr>
                <w:rFonts w:asciiTheme="majorBidi" w:hAnsiTheme="majorBidi" w:cstheme="majorBidi"/>
                <w:b w:val="0"/>
                <w:bCs w:val="0"/>
                <w:sz w:val="22"/>
              </w:rPr>
            </w:pPr>
            <w:r w:rsidRPr="00A9296B">
              <w:rPr>
                <w:rFonts w:asciiTheme="majorBidi" w:hAnsiTheme="majorBidi" w:cstheme="majorBidi"/>
                <w:b w:val="0"/>
                <w:bCs w:val="0"/>
                <w:sz w:val="22"/>
              </w:rPr>
              <w:t>2</w:t>
            </w:r>
          </w:p>
        </w:tc>
        <w:tc>
          <w:tcPr>
            <w:tcW w:w="3046" w:type="dxa"/>
            <w:tcBorders>
              <w:top w:val="nil"/>
              <w:bottom w:val="nil"/>
            </w:tcBorders>
            <w:hideMark/>
          </w:tcPr>
          <w:p w14:paraId="20F424FB"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Pimpinan Dayah/Ulama Dayah</w:t>
            </w:r>
          </w:p>
        </w:tc>
        <w:tc>
          <w:tcPr>
            <w:tcW w:w="1292" w:type="dxa"/>
            <w:tcBorders>
              <w:top w:val="nil"/>
              <w:bottom w:val="nil"/>
            </w:tcBorders>
            <w:hideMark/>
          </w:tcPr>
          <w:p w14:paraId="513B65DC"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8 orang</w:t>
            </w:r>
          </w:p>
        </w:tc>
        <w:tc>
          <w:tcPr>
            <w:tcW w:w="0" w:type="auto"/>
            <w:tcBorders>
              <w:top w:val="nil"/>
              <w:bottom w:val="nil"/>
            </w:tcBorders>
            <w:hideMark/>
          </w:tcPr>
          <w:p w14:paraId="6EBF76FF"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lang w:val="sv-SE"/>
              </w:rPr>
            </w:pPr>
            <w:r w:rsidRPr="00A9296B">
              <w:rPr>
                <w:rFonts w:asciiTheme="majorBidi" w:hAnsiTheme="majorBidi" w:cstheme="majorBidi"/>
                <w:sz w:val="22"/>
                <w:lang w:val="sv-SE"/>
              </w:rPr>
              <w:t>Pimpinan dayah yang telah terakreditasi</w:t>
            </w:r>
          </w:p>
        </w:tc>
      </w:tr>
      <w:tr w:rsidR="00A9296B" w:rsidRPr="00A9296B" w14:paraId="74FB537C" w14:textId="77777777" w:rsidTr="00A9296B">
        <w:trPr>
          <w:trHeight w:val="468"/>
        </w:trPr>
        <w:tc>
          <w:tcPr>
            <w:cnfStyle w:val="001000000000" w:firstRow="0" w:lastRow="0" w:firstColumn="1" w:lastColumn="0" w:oddVBand="0" w:evenVBand="0" w:oddHBand="0" w:evenHBand="0" w:firstRowFirstColumn="0" w:firstRowLastColumn="0" w:lastRowFirstColumn="0" w:lastRowLastColumn="0"/>
            <w:tcW w:w="567" w:type="dxa"/>
            <w:tcBorders>
              <w:top w:val="nil"/>
              <w:bottom w:val="nil"/>
            </w:tcBorders>
            <w:hideMark/>
          </w:tcPr>
          <w:p w14:paraId="6B0A3E38" w14:textId="77777777" w:rsidR="00A15749" w:rsidRPr="00A9296B" w:rsidRDefault="00A15749" w:rsidP="00A9296B">
            <w:pPr>
              <w:jc w:val="center"/>
              <w:rPr>
                <w:rFonts w:asciiTheme="majorBidi" w:hAnsiTheme="majorBidi" w:cstheme="majorBidi"/>
                <w:b w:val="0"/>
                <w:bCs w:val="0"/>
                <w:sz w:val="22"/>
              </w:rPr>
            </w:pPr>
            <w:r w:rsidRPr="00A9296B">
              <w:rPr>
                <w:rFonts w:asciiTheme="majorBidi" w:hAnsiTheme="majorBidi" w:cstheme="majorBidi"/>
                <w:b w:val="0"/>
                <w:bCs w:val="0"/>
                <w:sz w:val="22"/>
              </w:rPr>
              <w:t>3</w:t>
            </w:r>
          </w:p>
        </w:tc>
        <w:tc>
          <w:tcPr>
            <w:tcW w:w="3046" w:type="dxa"/>
            <w:tcBorders>
              <w:top w:val="nil"/>
              <w:bottom w:val="nil"/>
            </w:tcBorders>
            <w:hideMark/>
          </w:tcPr>
          <w:p w14:paraId="0301D173"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Guru Kitab Kuning (Turats)</w:t>
            </w:r>
          </w:p>
        </w:tc>
        <w:tc>
          <w:tcPr>
            <w:tcW w:w="1292" w:type="dxa"/>
            <w:tcBorders>
              <w:top w:val="nil"/>
              <w:bottom w:val="nil"/>
            </w:tcBorders>
            <w:hideMark/>
          </w:tcPr>
          <w:p w14:paraId="77CCD9DA"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6 orang</w:t>
            </w:r>
          </w:p>
        </w:tc>
        <w:tc>
          <w:tcPr>
            <w:tcW w:w="0" w:type="auto"/>
            <w:tcBorders>
              <w:top w:val="nil"/>
              <w:bottom w:val="nil"/>
            </w:tcBorders>
            <w:hideMark/>
          </w:tcPr>
          <w:p w14:paraId="08CE7F6E"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Guru senior pengampu kitab kuning (Turats)</w:t>
            </w:r>
          </w:p>
        </w:tc>
      </w:tr>
      <w:tr w:rsidR="00A9296B" w:rsidRPr="00FC5DC3" w14:paraId="284EEF20" w14:textId="77777777" w:rsidTr="00A9296B">
        <w:trPr>
          <w:cnfStyle w:val="000000100000" w:firstRow="0" w:lastRow="0" w:firstColumn="0" w:lastColumn="0" w:oddVBand="0" w:evenVBand="0" w:oddHBand="1" w:evenHBand="0" w:firstRowFirstColumn="0" w:firstRowLastColumn="0" w:lastRowFirstColumn="0" w:lastRowLastColumn="0"/>
          <w:trHeight w:val="234"/>
        </w:trPr>
        <w:tc>
          <w:tcPr>
            <w:cnfStyle w:val="001000000000" w:firstRow="0" w:lastRow="0" w:firstColumn="1" w:lastColumn="0" w:oddVBand="0" w:evenVBand="0" w:oddHBand="0" w:evenHBand="0" w:firstRowFirstColumn="0" w:firstRowLastColumn="0" w:lastRowFirstColumn="0" w:lastRowLastColumn="0"/>
            <w:tcW w:w="567" w:type="dxa"/>
            <w:tcBorders>
              <w:top w:val="nil"/>
            </w:tcBorders>
            <w:hideMark/>
          </w:tcPr>
          <w:p w14:paraId="68BEA28C" w14:textId="77777777" w:rsidR="00A15749" w:rsidRPr="00A9296B" w:rsidRDefault="00A15749" w:rsidP="00A9296B">
            <w:pPr>
              <w:jc w:val="center"/>
              <w:rPr>
                <w:rFonts w:asciiTheme="majorBidi" w:hAnsiTheme="majorBidi" w:cstheme="majorBidi"/>
                <w:b w:val="0"/>
                <w:bCs w:val="0"/>
                <w:sz w:val="22"/>
              </w:rPr>
            </w:pPr>
            <w:r w:rsidRPr="00A9296B">
              <w:rPr>
                <w:rFonts w:asciiTheme="majorBidi" w:hAnsiTheme="majorBidi" w:cstheme="majorBidi"/>
                <w:b w:val="0"/>
                <w:bCs w:val="0"/>
                <w:sz w:val="22"/>
              </w:rPr>
              <w:t>4</w:t>
            </w:r>
          </w:p>
        </w:tc>
        <w:tc>
          <w:tcPr>
            <w:tcW w:w="3046" w:type="dxa"/>
            <w:tcBorders>
              <w:top w:val="nil"/>
            </w:tcBorders>
            <w:hideMark/>
          </w:tcPr>
          <w:p w14:paraId="746EC147"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Santri</w:t>
            </w:r>
          </w:p>
        </w:tc>
        <w:tc>
          <w:tcPr>
            <w:tcW w:w="1292" w:type="dxa"/>
            <w:tcBorders>
              <w:top w:val="nil"/>
            </w:tcBorders>
            <w:hideMark/>
          </w:tcPr>
          <w:p w14:paraId="57F9BAA0"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rPr>
            </w:pPr>
            <w:r w:rsidRPr="00A9296B">
              <w:rPr>
                <w:rFonts w:asciiTheme="majorBidi" w:hAnsiTheme="majorBidi" w:cstheme="majorBidi"/>
                <w:sz w:val="22"/>
              </w:rPr>
              <w:t>9 orang</w:t>
            </w:r>
          </w:p>
        </w:tc>
        <w:tc>
          <w:tcPr>
            <w:tcW w:w="0" w:type="auto"/>
            <w:tcBorders>
              <w:top w:val="nil"/>
            </w:tcBorders>
            <w:hideMark/>
          </w:tcPr>
          <w:p w14:paraId="22797374" w14:textId="77777777" w:rsidR="00A15749" w:rsidRPr="00A9296B" w:rsidRDefault="00A15749" w:rsidP="00A9296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2"/>
                <w:lang w:val="sv-SE"/>
              </w:rPr>
            </w:pPr>
            <w:r w:rsidRPr="00A9296B">
              <w:rPr>
                <w:rFonts w:asciiTheme="majorBidi" w:hAnsiTheme="majorBidi" w:cstheme="majorBidi"/>
                <w:sz w:val="22"/>
                <w:lang w:val="sv-SE"/>
              </w:rPr>
              <w:t>Santri aktif di dayah terakreditasi</w:t>
            </w:r>
          </w:p>
        </w:tc>
      </w:tr>
      <w:tr w:rsidR="00A9296B" w:rsidRPr="00A9296B" w14:paraId="0470C92C" w14:textId="77777777" w:rsidTr="00A9296B">
        <w:trPr>
          <w:trHeight w:val="369"/>
        </w:trPr>
        <w:tc>
          <w:tcPr>
            <w:cnfStyle w:val="001000000000" w:firstRow="0" w:lastRow="0" w:firstColumn="1" w:lastColumn="0" w:oddVBand="0" w:evenVBand="0" w:oddHBand="0" w:evenHBand="0" w:firstRowFirstColumn="0" w:firstRowLastColumn="0" w:lastRowFirstColumn="0" w:lastRowLastColumn="0"/>
            <w:tcW w:w="567" w:type="dxa"/>
            <w:hideMark/>
          </w:tcPr>
          <w:p w14:paraId="77386B20" w14:textId="77777777" w:rsidR="00A15749" w:rsidRPr="00A9296B" w:rsidRDefault="00A15749" w:rsidP="00A9296B">
            <w:pPr>
              <w:rPr>
                <w:rFonts w:asciiTheme="majorBidi" w:hAnsiTheme="majorBidi" w:cstheme="majorBidi"/>
                <w:sz w:val="22"/>
              </w:rPr>
            </w:pPr>
            <w:r w:rsidRPr="00A9296B">
              <w:rPr>
                <w:rStyle w:val="Strong"/>
                <w:rFonts w:asciiTheme="majorBidi" w:hAnsiTheme="majorBidi" w:cstheme="majorBidi"/>
                <w:sz w:val="22"/>
              </w:rPr>
              <w:t>Total</w:t>
            </w:r>
          </w:p>
        </w:tc>
        <w:tc>
          <w:tcPr>
            <w:tcW w:w="3046" w:type="dxa"/>
            <w:hideMark/>
          </w:tcPr>
          <w:p w14:paraId="4A7295EC"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p>
        </w:tc>
        <w:tc>
          <w:tcPr>
            <w:tcW w:w="1292" w:type="dxa"/>
            <w:hideMark/>
          </w:tcPr>
          <w:p w14:paraId="28EE5CC5"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r w:rsidRPr="00A9296B">
              <w:rPr>
                <w:rStyle w:val="Strong"/>
                <w:rFonts w:asciiTheme="majorBidi" w:hAnsiTheme="majorBidi" w:cstheme="majorBidi"/>
                <w:sz w:val="22"/>
              </w:rPr>
              <w:t>30 orang</w:t>
            </w:r>
          </w:p>
        </w:tc>
        <w:tc>
          <w:tcPr>
            <w:tcW w:w="0" w:type="auto"/>
            <w:hideMark/>
          </w:tcPr>
          <w:p w14:paraId="5B69C9D5" w14:textId="77777777" w:rsidR="00A15749" w:rsidRPr="00A9296B" w:rsidRDefault="00A15749" w:rsidP="00A9296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2"/>
              </w:rPr>
            </w:pPr>
          </w:p>
        </w:tc>
      </w:tr>
    </w:tbl>
    <w:p w14:paraId="75E259D3" w14:textId="77777777" w:rsidR="00A15749" w:rsidRPr="00A9296B" w:rsidRDefault="00A15749" w:rsidP="001F2BAD">
      <w:pPr>
        <w:pStyle w:val="Heading4"/>
        <w:spacing w:before="0"/>
        <w:ind w:firstLine="0"/>
        <w:rPr>
          <w:rFonts w:asciiTheme="majorBidi" w:hAnsiTheme="majorBidi"/>
          <w:bCs/>
          <w:color w:val="auto"/>
          <w:sz w:val="22"/>
          <w:szCs w:val="22"/>
        </w:rPr>
      </w:pPr>
      <w:r w:rsidRPr="00A9296B">
        <w:rPr>
          <w:rFonts w:asciiTheme="majorBidi" w:hAnsiTheme="majorBidi"/>
          <w:bCs/>
          <w:color w:val="auto"/>
          <w:sz w:val="22"/>
          <w:szCs w:val="22"/>
        </w:rPr>
        <w:t xml:space="preserve">Sumber: Data Penelitian 2025 </w:t>
      </w:r>
    </w:p>
    <w:p w14:paraId="079CE061" w14:textId="77777777" w:rsidR="00A15749" w:rsidRPr="00A9296B" w:rsidRDefault="00A15749" w:rsidP="00A15749">
      <w:pPr>
        <w:rPr>
          <w:sz w:val="22"/>
          <w:szCs w:val="22"/>
        </w:rPr>
      </w:pPr>
    </w:p>
    <w:p w14:paraId="28588BEF" w14:textId="77777777" w:rsidR="00A15749" w:rsidRPr="00A9296B" w:rsidRDefault="00A15749" w:rsidP="00A9296B">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Teknik Pengumpulan Data</w:t>
      </w:r>
    </w:p>
    <w:p w14:paraId="67FD071F"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Adapun teknik pengumpulan data dilakukan dengan beberapa cara, yaitu:</w:t>
      </w:r>
    </w:p>
    <w:p w14:paraId="71070C0C" w14:textId="77777777" w:rsidR="00A15749" w:rsidRPr="00A9296B" w:rsidRDefault="00A15749" w:rsidP="00A15749">
      <w:pPr>
        <w:pStyle w:val="NormalWeb"/>
        <w:numPr>
          <w:ilvl w:val="0"/>
          <w:numId w:val="4"/>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Wawancara mendalam (</w:t>
      </w:r>
      <w:r w:rsidRPr="00A9296B">
        <w:rPr>
          <w:rStyle w:val="Strong"/>
          <w:rFonts w:asciiTheme="majorBidi" w:hAnsiTheme="majorBidi" w:cstheme="majorBidi"/>
          <w:b w:val="0"/>
          <w:bCs w:val="0"/>
          <w:i/>
          <w:iCs/>
          <w:sz w:val="22"/>
          <w:szCs w:val="22"/>
          <w:lang w:val="sv-SE"/>
        </w:rPr>
        <w:t>in-depth interview</w:t>
      </w:r>
      <w:r w:rsidRPr="00A9296B">
        <w:rPr>
          <w:rStyle w:val="Strong"/>
          <w:rFonts w:asciiTheme="majorBidi" w:hAnsiTheme="majorBidi" w:cstheme="majorBidi"/>
          <w:b w:val="0"/>
          <w:bCs w:val="0"/>
          <w:sz w:val="22"/>
          <w:szCs w:val="22"/>
          <w:lang w:val="sv-SE"/>
        </w:rPr>
        <w:t>)</w:t>
      </w:r>
      <w:r w:rsidRPr="00A9296B">
        <w:rPr>
          <w:rFonts w:asciiTheme="majorBidi" w:hAnsiTheme="majorBidi" w:cstheme="majorBidi"/>
          <w:sz w:val="22"/>
          <w:szCs w:val="22"/>
          <w:lang w:val="sv-SE"/>
        </w:rPr>
        <w:t xml:space="preserve"> untuk menggali pemahaman, pengalaman, dan pandangan informan terkait pelaksanaan akreditasi serta dampaknya terhadap pembelajaran kitab kuning.</w:t>
      </w:r>
    </w:p>
    <w:p w14:paraId="366615C1" w14:textId="77777777" w:rsidR="00A15749" w:rsidRPr="00A9296B" w:rsidRDefault="00A15749" w:rsidP="00A15749">
      <w:pPr>
        <w:pStyle w:val="NormalWeb"/>
        <w:numPr>
          <w:ilvl w:val="0"/>
          <w:numId w:val="4"/>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Observasi partisipatif</w:t>
      </w:r>
      <w:r w:rsidRPr="00A9296B">
        <w:rPr>
          <w:rFonts w:asciiTheme="majorBidi" w:hAnsiTheme="majorBidi" w:cstheme="majorBidi"/>
          <w:sz w:val="22"/>
          <w:szCs w:val="22"/>
          <w:lang w:val="sv-SE"/>
        </w:rPr>
        <w:t xml:space="preserve"> untuk mengamati secara langsung proses pembelajaran kitab kuning, manajemen dayah, serta interaksi antara guru dan santri.</w:t>
      </w:r>
    </w:p>
    <w:p w14:paraId="055D6E73" w14:textId="77777777" w:rsidR="00A15749" w:rsidRPr="00A9296B" w:rsidRDefault="00A15749" w:rsidP="00A15749">
      <w:pPr>
        <w:pStyle w:val="NormalWeb"/>
        <w:numPr>
          <w:ilvl w:val="0"/>
          <w:numId w:val="4"/>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Studi dokumentasi</w:t>
      </w:r>
      <w:r w:rsidRPr="00A9296B">
        <w:rPr>
          <w:rFonts w:asciiTheme="majorBidi" w:hAnsiTheme="majorBidi" w:cstheme="majorBidi"/>
          <w:sz w:val="22"/>
          <w:szCs w:val="22"/>
          <w:lang w:val="sv-SE"/>
        </w:rPr>
        <w:t xml:space="preserve"> terhadap regulasi resmi, borang akreditasi, kurikulum dayah, serta laporan hasil akreditasi.</w:t>
      </w:r>
    </w:p>
    <w:p w14:paraId="6C62E361"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Teknik triangulasi sumber dilakukan untuk memperkuat validitas data, yakni dengan membandingkan hasil wawancara, observasi, dan dokumentasi.</w:t>
      </w:r>
    </w:p>
    <w:p w14:paraId="28B9E385" w14:textId="77777777" w:rsidR="00A15749" w:rsidRPr="00A9296B" w:rsidRDefault="00A15749" w:rsidP="00A15749">
      <w:pPr>
        <w:pStyle w:val="NormalWeb"/>
        <w:spacing w:before="0" w:beforeAutospacing="0" w:after="0" w:afterAutospacing="0" w:line="360" w:lineRule="auto"/>
        <w:jc w:val="both"/>
        <w:rPr>
          <w:rFonts w:asciiTheme="majorBidi" w:hAnsiTheme="majorBidi" w:cstheme="majorBidi"/>
          <w:sz w:val="22"/>
          <w:szCs w:val="22"/>
          <w:lang w:val="sv-SE"/>
        </w:rPr>
      </w:pPr>
    </w:p>
    <w:p w14:paraId="7E5A32B7" w14:textId="77777777" w:rsidR="00A15749" w:rsidRPr="00A9296B" w:rsidRDefault="00A15749" w:rsidP="00A9296B">
      <w:pPr>
        <w:pStyle w:val="Heading4"/>
        <w:spacing w:before="0" w:line="360" w:lineRule="auto"/>
        <w:ind w:firstLine="0"/>
        <w:rPr>
          <w:rFonts w:asciiTheme="majorBidi" w:hAnsiTheme="majorBidi"/>
          <w:b/>
          <w:bCs/>
          <w:i w:val="0"/>
          <w:iCs w:val="0"/>
          <w:color w:val="auto"/>
          <w:sz w:val="22"/>
          <w:szCs w:val="22"/>
          <w:lang w:val="sv-SE"/>
        </w:rPr>
      </w:pPr>
      <w:r w:rsidRPr="00A9296B">
        <w:rPr>
          <w:rFonts w:asciiTheme="majorBidi" w:hAnsiTheme="majorBidi"/>
          <w:b/>
          <w:bCs/>
          <w:i w:val="0"/>
          <w:iCs w:val="0"/>
          <w:color w:val="auto"/>
          <w:sz w:val="22"/>
          <w:szCs w:val="22"/>
          <w:lang w:val="sv-SE"/>
        </w:rPr>
        <w:t>Teknik Analisis Data</w:t>
      </w:r>
    </w:p>
    <w:p w14:paraId="655888AB" w14:textId="77777777" w:rsidR="00A15749" w:rsidRPr="00A9296B" w:rsidRDefault="00A15749" w:rsidP="00A15749">
      <w:pPr>
        <w:pStyle w:val="NormalWeb"/>
        <w:spacing w:before="0" w:beforeAutospacing="0" w:after="0" w:afterAutospacing="0" w:line="360" w:lineRule="auto"/>
        <w:ind w:firstLine="720"/>
        <w:jc w:val="both"/>
        <w:rPr>
          <w:rFonts w:asciiTheme="majorBidi" w:hAnsiTheme="majorBidi" w:cstheme="majorBidi"/>
          <w:sz w:val="22"/>
          <w:szCs w:val="22"/>
          <w:lang w:val="sv-SE"/>
        </w:rPr>
      </w:pPr>
      <w:r w:rsidRPr="00A9296B">
        <w:rPr>
          <w:rFonts w:asciiTheme="majorBidi" w:hAnsiTheme="majorBidi" w:cstheme="majorBidi"/>
          <w:sz w:val="22"/>
          <w:szCs w:val="22"/>
          <w:lang w:val="sv-SE"/>
        </w:rPr>
        <w:t xml:space="preserve">Analisis data menggunakan model </w:t>
      </w:r>
      <w:r w:rsidRPr="00A9296B">
        <w:rPr>
          <w:rStyle w:val="Strong"/>
          <w:rFonts w:asciiTheme="majorBidi" w:hAnsiTheme="majorBidi" w:cstheme="majorBidi"/>
          <w:b w:val="0"/>
          <w:bCs w:val="0"/>
          <w:sz w:val="22"/>
          <w:szCs w:val="22"/>
          <w:lang w:val="sv-SE"/>
        </w:rPr>
        <w:t>Miles dan Huberman</w:t>
      </w:r>
      <w:r w:rsidRPr="00A9296B">
        <w:rPr>
          <w:rFonts w:asciiTheme="majorBidi" w:hAnsiTheme="majorBidi" w:cstheme="majorBidi"/>
          <w:sz w:val="22"/>
          <w:szCs w:val="22"/>
          <w:lang w:val="sv-SE"/>
        </w:rPr>
        <w:t xml:space="preserve"> yang terdiri atas tiga tahap utama, yaitu:</w:t>
      </w:r>
    </w:p>
    <w:p w14:paraId="1080016F" w14:textId="77777777" w:rsidR="00A15749" w:rsidRPr="00A9296B" w:rsidRDefault="00A15749" w:rsidP="00A15749">
      <w:pPr>
        <w:pStyle w:val="NormalWeb"/>
        <w:numPr>
          <w:ilvl w:val="0"/>
          <w:numId w:val="5"/>
        </w:numPr>
        <w:spacing w:before="0" w:beforeAutospacing="0" w:after="0" w:afterAutospacing="0" w:line="360" w:lineRule="auto"/>
        <w:jc w:val="both"/>
        <w:rPr>
          <w:rFonts w:asciiTheme="majorBidi" w:hAnsiTheme="majorBidi" w:cstheme="majorBidi"/>
          <w:sz w:val="22"/>
          <w:szCs w:val="22"/>
        </w:rPr>
      </w:pPr>
      <w:r w:rsidRPr="00A9296B">
        <w:rPr>
          <w:rStyle w:val="Strong"/>
          <w:rFonts w:asciiTheme="majorBidi" w:hAnsiTheme="majorBidi" w:cstheme="majorBidi"/>
          <w:b w:val="0"/>
          <w:bCs w:val="0"/>
          <w:sz w:val="22"/>
          <w:szCs w:val="22"/>
        </w:rPr>
        <w:t>Reduksi data</w:t>
      </w:r>
      <w:r w:rsidRPr="00A9296B">
        <w:rPr>
          <w:rFonts w:asciiTheme="majorBidi" w:hAnsiTheme="majorBidi" w:cstheme="majorBidi"/>
          <w:sz w:val="22"/>
          <w:szCs w:val="22"/>
        </w:rPr>
        <w:t>, yaitu proses pemilihan, penyederhanaan, dan pemusatan perhatian pada data penting yang relevan dengan fokus penelitian.</w:t>
      </w:r>
    </w:p>
    <w:p w14:paraId="19C3B5BA" w14:textId="77777777" w:rsidR="00A15749" w:rsidRPr="00A9296B" w:rsidRDefault="00A15749" w:rsidP="00A15749">
      <w:pPr>
        <w:pStyle w:val="NormalWeb"/>
        <w:numPr>
          <w:ilvl w:val="0"/>
          <w:numId w:val="5"/>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Penyajian data</w:t>
      </w:r>
      <w:r w:rsidRPr="00A9296B">
        <w:rPr>
          <w:rFonts w:asciiTheme="majorBidi" w:hAnsiTheme="majorBidi" w:cstheme="majorBidi"/>
          <w:sz w:val="22"/>
          <w:szCs w:val="22"/>
          <w:lang w:val="sv-SE"/>
        </w:rPr>
        <w:t>, berupa penyusunan data dalam bentuk narasi, tabel, dan matriks untuk memudahkan penarikan makna.</w:t>
      </w:r>
    </w:p>
    <w:p w14:paraId="041F4F1B" w14:textId="23A391C5" w:rsidR="00A15749" w:rsidRPr="00A9296B" w:rsidRDefault="00A15749" w:rsidP="00A15749">
      <w:pPr>
        <w:pStyle w:val="NormalWeb"/>
        <w:numPr>
          <w:ilvl w:val="0"/>
          <w:numId w:val="5"/>
        </w:numPr>
        <w:spacing w:before="0" w:beforeAutospacing="0" w:after="0" w:afterAutospacing="0" w:line="360" w:lineRule="auto"/>
        <w:jc w:val="both"/>
        <w:rPr>
          <w:rFonts w:asciiTheme="majorBidi" w:hAnsiTheme="majorBidi" w:cstheme="majorBidi"/>
          <w:sz w:val="22"/>
          <w:szCs w:val="22"/>
          <w:lang w:val="sv-SE"/>
        </w:rPr>
      </w:pPr>
      <w:r w:rsidRPr="00A9296B">
        <w:rPr>
          <w:rStyle w:val="Strong"/>
          <w:rFonts w:asciiTheme="majorBidi" w:hAnsiTheme="majorBidi" w:cstheme="majorBidi"/>
          <w:b w:val="0"/>
          <w:bCs w:val="0"/>
          <w:sz w:val="22"/>
          <w:szCs w:val="22"/>
          <w:lang w:val="sv-SE"/>
        </w:rPr>
        <w:t>Penarikan kesimpulan dan verifikasi</w:t>
      </w:r>
      <w:r w:rsidRPr="00A9296B">
        <w:rPr>
          <w:rFonts w:asciiTheme="majorBidi" w:hAnsiTheme="majorBidi" w:cstheme="majorBidi"/>
          <w:sz w:val="22"/>
          <w:szCs w:val="22"/>
          <w:lang w:val="sv-SE"/>
        </w:rPr>
        <w:t xml:space="preserve">, yaitu memberikan interpretasi atas data yang diperoleh, kemudian memverifikasi dengan cara membandingkan kembali dengan sumber data lainnya </w:t>
      </w:r>
      <w:r w:rsidR="004827B2">
        <w:rPr>
          <w:rFonts w:asciiTheme="majorBidi" w:hAnsiTheme="majorBidi" w:cstheme="majorBidi"/>
          <w:sz w:val="22"/>
          <w:szCs w:val="22"/>
          <w:lang w:val="sv-SE"/>
        </w:rPr>
        <w:fldChar w:fldCharType="begin" w:fldLock="1"/>
      </w:r>
      <w:r w:rsidR="000E0D5A">
        <w:rPr>
          <w:rFonts w:asciiTheme="majorBidi" w:hAnsiTheme="majorBidi" w:cstheme="majorBidi"/>
          <w:sz w:val="22"/>
          <w:szCs w:val="22"/>
          <w:lang w:val="sv-SE"/>
        </w:rPr>
        <w:instrText>ADDIN CSL_CITATION {"citationItems":[{"id":"ITEM-1","itemData":{"author":[{"dropping-particle":"","family":"Miles","given":"Huberman","non-dropping-particle":"","parse-names":false,"suffix":""},{"dropping-particle":"","family":"Huberman","given":"A Michael","non-dropping-particle":"","parse-names":false,"suffix":""}],"container-title":"New York: Sage Publications, Inc","id":"ITEM-1","issued":{"date-parts":[["2020"]]},"title":"Saldana.(2014). Qualitative data analysis: A methods sourcebook","type":"article-journal"},"uris":["http://www.mendeley.com/documents/?uuid=fd75ee92-5db8-4c93-a36a-90f005b98a4e"]}],"mendeley":{"formattedCitation":"(Miles &amp; Huberman, 2020)","plainTextFormattedCitation":"(Miles &amp; Huberman, 2020)","previouslyFormattedCitation":"(Miles &amp; Huberman, 2020)"},"properties":{"noteIndex":0},"schema":"https://github.com/citation-style-language/schema/raw/master/csl-citation.json"}</w:instrText>
      </w:r>
      <w:r w:rsidR="004827B2">
        <w:rPr>
          <w:rFonts w:asciiTheme="majorBidi" w:hAnsiTheme="majorBidi" w:cstheme="majorBidi"/>
          <w:sz w:val="22"/>
          <w:szCs w:val="22"/>
          <w:lang w:val="sv-SE"/>
        </w:rPr>
        <w:fldChar w:fldCharType="separate"/>
      </w:r>
      <w:r w:rsidR="004827B2" w:rsidRPr="004827B2">
        <w:rPr>
          <w:rFonts w:asciiTheme="majorBidi" w:hAnsiTheme="majorBidi" w:cstheme="majorBidi"/>
          <w:noProof/>
          <w:sz w:val="22"/>
          <w:szCs w:val="22"/>
          <w:lang w:val="sv-SE"/>
        </w:rPr>
        <w:t>(Miles &amp; Huberman, 2020)</w:t>
      </w:r>
      <w:r w:rsidR="004827B2">
        <w:rPr>
          <w:rFonts w:asciiTheme="majorBidi" w:hAnsiTheme="majorBidi" w:cstheme="majorBidi"/>
          <w:sz w:val="22"/>
          <w:szCs w:val="22"/>
          <w:lang w:val="sv-SE"/>
        </w:rPr>
        <w:fldChar w:fldCharType="end"/>
      </w:r>
      <w:r w:rsidRPr="00A9296B">
        <w:rPr>
          <w:rFonts w:asciiTheme="majorBidi" w:hAnsiTheme="majorBidi" w:cstheme="majorBidi"/>
          <w:sz w:val="22"/>
          <w:szCs w:val="22"/>
          <w:lang w:val="sv-SE"/>
        </w:rPr>
        <w:t>.</w:t>
      </w:r>
    </w:p>
    <w:p w14:paraId="36BBB8CB" w14:textId="77777777" w:rsidR="00A9296B" w:rsidRDefault="00A15749" w:rsidP="00A9296B">
      <w:pPr>
        <w:pStyle w:val="NormalWeb"/>
        <w:spacing w:before="0" w:beforeAutospacing="0" w:after="0" w:afterAutospacing="0" w:line="360" w:lineRule="auto"/>
        <w:jc w:val="both"/>
        <w:rPr>
          <w:rFonts w:asciiTheme="majorBidi" w:hAnsiTheme="majorBidi" w:cstheme="majorBidi"/>
          <w:sz w:val="22"/>
          <w:szCs w:val="22"/>
          <w:lang w:val="sv-SE"/>
        </w:rPr>
      </w:pPr>
      <w:r w:rsidRPr="00A9296B">
        <w:rPr>
          <w:rFonts w:asciiTheme="majorBidi" w:hAnsiTheme="majorBidi" w:cstheme="majorBidi"/>
          <w:sz w:val="22"/>
          <w:szCs w:val="22"/>
          <w:lang w:val="sv-SE"/>
        </w:rPr>
        <w:t>Dengan teknik ini, hasil penelitian diharapkan dapat memberikan gambaran yang utuh mengenai dampak akreditasi terhadap kualitas pembelajaran kitab kuning di dayah Aceh.</w:t>
      </w:r>
      <w:r w:rsidR="00A9296B">
        <w:rPr>
          <w:rFonts w:asciiTheme="majorBidi" w:hAnsiTheme="majorBidi" w:cstheme="majorBidi"/>
          <w:sz w:val="22"/>
          <w:szCs w:val="22"/>
          <w:lang w:val="sv-SE"/>
        </w:rPr>
        <w:t xml:space="preserve"> </w:t>
      </w:r>
    </w:p>
    <w:p w14:paraId="0A72F9AD" w14:textId="4090B7C6" w:rsidR="00A41870" w:rsidRPr="00A9296B" w:rsidRDefault="00A41870" w:rsidP="00A9296B">
      <w:pPr>
        <w:pStyle w:val="NormalWeb"/>
        <w:spacing w:before="0" w:beforeAutospacing="0" w:after="0" w:afterAutospacing="0" w:line="360" w:lineRule="auto"/>
        <w:jc w:val="both"/>
        <w:rPr>
          <w:rFonts w:asciiTheme="majorBidi" w:hAnsiTheme="majorBidi" w:cstheme="majorBidi"/>
          <w:sz w:val="22"/>
          <w:szCs w:val="22"/>
          <w:lang w:val="sv-SE"/>
        </w:rPr>
      </w:pPr>
    </w:p>
    <w:p w14:paraId="77E116D2" w14:textId="6DD5A22D" w:rsidR="00A41870" w:rsidRDefault="00B16F2E" w:rsidP="006D2852">
      <w:pPr>
        <w:pBdr>
          <w:top w:val="nil"/>
          <w:left w:val="nil"/>
          <w:bottom w:val="nil"/>
          <w:right w:val="nil"/>
          <w:between w:val="nil"/>
        </w:pBdr>
        <w:spacing w:line="360" w:lineRule="auto"/>
        <w:ind w:firstLine="0"/>
        <w:rPr>
          <w:rFonts w:eastAsia="Times New Roman"/>
          <w:b/>
          <w:color w:val="000000"/>
        </w:rPr>
      </w:pPr>
      <w:r>
        <w:rPr>
          <w:rFonts w:eastAsia="Times New Roman"/>
          <w:b/>
          <w:color w:val="000000"/>
        </w:rPr>
        <w:t>HASIL DAN PEMBAHASAN</w:t>
      </w:r>
    </w:p>
    <w:p w14:paraId="2FC76E5A"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lastRenderedPageBreak/>
        <w:t>Akreditasi dan Penataan Kurikulum Kitab Kuning</w:t>
      </w:r>
    </w:p>
    <w:p w14:paraId="10E1402D" w14:textId="69C928A5" w:rsidR="006D2852" w:rsidRPr="0052045B" w:rsidRDefault="006D2852" w:rsidP="006D2852">
      <w:pPr>
        <w:pStyle w:val="NormalWeb"/>
        <w:spacing w:before="0" w:beforeAutospacing="0" w:after="0" w:afterAutospacing="0" w:line="360" w:lineRule="auto"/>
        <w:ind w:left="360"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Berdasarkan termuan hasil penelitian di lapngan menunjukkan bahwa akreditasi mendorong dayah untuk menyusun kurikulum dan silabus kitab kuning yang lebih terarah. Hal ini sejalan dengan pandangan Tilaar </w:t>
      </w:r>
      <w:r w:rsidR="000E0D5A">
        <w:rPr>
          <w:rFonts w:asciiTheme="majorBidi" w:hAnsiTheme="majorBidi" w:cstheme="majorBidi"/>
          <w:sz w:val="22"/>
          <w:szCs w:val="22"/>
          <w:lang w:val="sv-SE"/>
        </w:rPr>
        <w:fldChar w:fldCharType="begin" w:fldLock="1"/>
      </w:r>
      <w:r w:rsidR="000E0D5A">
        <w:rPr>
          <w:rFonts w:asciiTheme="majorBidi" w:hAnsiTheme="majorBidi" w:cstheme="majorBidi"/>
          <w:sz w:val="22"/>
          <w:szCs w:val="22"/>
          <w:lang w:val="sv-SE"/>
        </w:rPr>
        <w:instrText>ADDIN CSL_CITATION {"citationItems":[{"id":"ITEM-1","itemData":{"ISBN":"9788578110796","ISSN":"1098-6596","PMID":"25246403","abstract":"Penelitian ini bertujuan untuk mengetahui pengaruh harga diskon dan persepsi produk terhadap nilai belanja serta perilaku pembelian konsumen untuk kategori produk fashion. Penelitian ini dilakukan di sebuah department store yang terletak di dalam pusat perbelanjaan Tunjungan Plaza Surabaya. Sebanyak 100 orang responden menjadi volunter di dalam penelitian ini, sedangkan untuk batasan kategori produk fashion yang diteliti meliputi pakaian, tas, alas kaki (sepatu, sandal dan sepatu sandal), serta aksesoris (kacamata, perhiasan dan topi). Hasil penelitian ini menunjukkan bahwa harga diskon berpengaruh terhadap belanja hedonik konsumen. Begitu pula pada variabel persepsi produk dapat meningkatkan belanja hedonik. Selanjutnya pengaruh positif juga ditunjukkan pada variabel persepsi produk terhadap belanja utilitarian konsumen, dan belanja hedonik serta utilitarian memiliki pengaruh yang positif terhadap perilaku pembelian konsumen di department store. Keywords:","author":[{"dropping-particle":"","family":"Tilaar","given":"HAR","non-dropping-particle":"","parse-names":false,"suffix":""}],"container-title":"Pengaruh Harga Diskon Dan Persepsi Produk Terhadap Nilai Belanja Serta Perilaku Pembelian Konsumen","id":"ITEM-1","issue":"9","issued":{"date-parts":[["2015"]]},"number-of-pages":"27-44","publisher":"Grasindo","publisher-place":"Jakarta","title":"Perubahan Sosial dan Pendidikan: Pengantar Pedagogik Transformatif untuk Indonesia.","type":"book","volume":"7"},"suppress-author":1,"uris":["http://www.mendeley.com/documents/?uuid=a581e1b5-82ad-4946-8861-302d58d08737"]}],"mendeley":{"formattedCitation":"(2015)","plainTextFormattedCitation":"(2015)","previouslyFormattedCitation":"(2015)"},"properties":{"noteIndex":0},"schema":"https://github.com/citation-style-language/schema/raw/master/csl-citation.json"}</w:instrText>
      </w:r>
      <w:r w:rsidR="000E0D5A">
        <w:rPr>
          <w:rFonts w:asciiTheme="majorBidi" w:hAnsiTheme="majorBidi" w:cstheme="majorBidi"/>
          <w:sz w:val="22"/>
          <w:szCs w:val="22"/>
          <w:lang w:val="sv-SE"/>
        </w:rPr>
        <w:fldChar w:fldCharType="separate"/>
      </w:r>
      <w:r w:rsidR="000E0D5A" w:rsidRPr="000E0D5A">
        <w:rPr>
          <w:rFonts w:asciiTheme="majorBidi" w:hAnsiTheme="majorBidi" w:cstheme="majorBidi"/>
          <w:noProof/>
          <w:sz w:val="22"/>
          <w:szCs w:val="22"/>
          <w:lang w:val="sv-SE"/>
        </w:rPr>
        <w:t>(2015)</w:t>
      </w:r>
      <w:r w:rsidR="000E0D5A">
        <w:rPr>
          <w:rFonts w:asciiTheme="majorBidi" w:hAnsiTheme="majorBidi" w:cstheme="majorBidi"/>
          <w:sz w:val="22"/>
          <w:szCs w:val="22"/>
          <w:lang w:val="sv-SE"/>
        </w:rPr>
        <w:fldChar w:fldCharType="end"/>
      </w:r>
      <w:r w:rsidRPr="0052045B">
        <w:rPr>
          <w:rFonts w:asciiTheme="majorBidi" w:hAnsiTheme="majorBidi" w:cstheme="majorBidi"/>
          <w:sz w:val="22"/>
          <w:szCs w:val="22"/>
          <w:lang w:val="sv-SE"/>
        </w:rPr>
        <w:t xml:space="preserve"> yang menyebutkan bahwa kurikulum merupakan instrumen penting dalam menjamin mutu pendidikan karena mengatur arah, isi, serta sistem pembelajaran secara lebih sistematis. Akreditasi berfungsi sebagai mekanisme untuk menstandardisasi kurikulum tanpa harus menghilangkan identitas khas dayah.</w:t>
      </w:r>
    </w:p>
    <w:p w14:paraId="2C67AAC8" w14:textId="393E869D" w:rsidR="006D2852" w:rsidRDefault="006D2852" w:rsidP="006D2852">
      <w:pPr>
        <w:pStyle w:val="NormalWeb"/>
        <w:spacing w:before="0" w:beforeAutospacing="0" w:after="0" w:afterAutospacing="0" w:line="360" w:lineRule="auto"/>
        <w:ind w:left="360"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Penelitian Mastuki </w:t>
      </w:r>
      <w:r w:rsidR="000E0D5A">
        <w:rPr>
          <w:rFonts w:asciiTheme="majorBidi" w:hAnsiTheme="majorBidi" w:cstheme="majorBidi"/>
          <w:sz w:val="22"/>
          <w:szCs w:val="22"/>
          <w:lang w:val="sv-SE"/>
        </w:rPr>
        <w:fldChar w:fldCharType="begin" w:fldLock="1"/>
      </w:r>
      <w:r w:rsidR="00BD51D4">
        <w:rPr>
          <w:rFonts w:asciiTheme="majorBidi" w:hAnsiTheme="majorBidi" w:cstheme="majorBidi"/>
          <w:sz w:val="22"/>
          <w:szCs w:val="22"/>
          <w:lang w:val="sv-SE"/>
        </w:rPr>
        <w:instrText>ADDIN CSL_CITATION {"citationItems":[{"id":"ITEM-1","itemData":{"author":[{"dropping-particle":"","family":"Mastuki","given":"","non-dropping-particle":"","parse-names":false,"suffix":""}],"container-title":"Edukasia: Jurnal Penelitian Pendidikan Islam","id":"ITEM-1","issue":"1","issued":{"date-parts":[["2020"]]},"page":"33-50","title":"Standar mutu pendidikan pesantren dan tantangan akreditasi","type":"article-journal","volume":"15"},"suppress-author":1,"uris":["http://www.mendeley.com/documents/?uuid=55620bbd-4cb9-4c74-b9fa-0c7a2ae10eef"]}],"mendeley":{"formattedCitation":"(2020)","plainTextFormattedCitation":"(2020)","previouslyFormattedCitation":"(2020)"},"properties":{"noteIndex":0},"schema":"https://github.com/citation-style-language/schema/raw/master/csl-citation.json"}</w:instrText>
      </w:r>
      <w:r w:rsidR="000E0D5A">
        <w:rPr>
          <w:rFonts w:asciiTheme="majorBidi" w:hAnsiTheme="majorBidi" w:cstheme="majorBidi"/>
          <w:sz w:val="22"/>
          <w:szCs w:val="22"/>
          <w:lang w:val="sv-SE"/>
        </w:rPr>
        <w:fldChar w:fldCharType="separate"/>
      </w:r>
      <w:r w:rsidR="000E0D5A" w:rsidRPr="000E0D5A">
        <w:rPr>
          <w:rFonts w:asciiTheme="majorBidi" w:hAnsiTheme="majorBidi" w:cstheme="majorBidi"/>
          <w:noProof/>
          <w:sz w:val="22"/>
          <w:szCs w:val="22"/>
          <w:lang w:val="sv-SE"/>
        </w:rPr>
        <w:t>(2020)</w:t>
      </w:r>
      <w:r w:rsidR="000E0D5A">
        <w:rPr>
          <w:rFonts w:asciiTheme="majorBidi" w:hAnsiTheme="majorBidi" w:cstheme="majorBidi"/>
          <w:sz w:val="22"/>
          <w:szCs w:val="22"/>
          <w:lang w:val="sv-SE"/>
        </w:rPr>
        <w:fldChar w:fldCharType="end"/>
      </w:r>
      <w:r w:rsidRPr="0052045B">
        <w:rPr>
          <w:rFonts w:asciiTheme="majorBidi" w:hAnsiTheme="majorBidi" w:cstheme="majorBidi"/>
          <w:sz w:val="22"/>
          <w:szCs w:val="22"/>
          <w:lang w:val="sv-SE"/>
        </w:rPr>
        <w:t xml:space="preserve"> juga menegaskan bahwa standar mutu di pesantren dan dayah diperlukan untuk memberikan kejelasan arah pendidikan, terutama dalam menghadapi tuntutan modernisasi. Dengan demikian, penataan kurikulum kitab kuning akibat akreditasi menjadi bukti bahwa tradisi dapat berjalan berdampingan dengan sistem mutu yang lebih formal.</w:t>
      </w:r>
    </w:p>
    <w:p w14:paraId="465DEEE2" w14:textId="77777777" w:rsidR="00E067C2" w:rsidRPr="0052045B" w:rsidRDefault="00E067C2" w:rsidP="006D2852">
      <w:pPr>
        <w:pStyle w:val="NormalWeb"/>
        <w:spacing w:before="0" w:beforeAutospacing="0" w:after="0" w:afterAutospacing="0" w:line="360" w:lineRule="auto"/>
        <w:ind w:left="360" w:firstLine="720"/>
        <w:jc w:val="both"/>
        <w:rPr>
          <w:rFonts w:asciiTheme="majorBidi" w:hAnsiTheme="majorBidi" w:cstheme="majorBidi"/>
          <w:sz w:val="22"/>
          <w:szCs w:val="22"/>
          <w:lang w:val="sv-SE"/>
        </w:rPr>
      </w:pPr>
    </w:p>
    <w:p w14:paraId="200F897C"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Profesionalisme Guru Kitab Kuning</w:t>
      </w:r>
    </w:p>
    <w:p w14:paraId="0F1A10D3" w14:textId="73522A3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Peningkatan profesionalisme guru kitab kuning pasca akreditasi menunjukkan bahwa akreditasi tidak hanya bersifat administratif, tetapi juga berfungsi sebagai alat pembinaan. Guru terdorong mengikuti pelatihan, menyusun portofolio, dan lebih disiplin dalam proses mengajar. Menurut Mulyasa </w:t>
      </w:r>
      <w:r w:rsidR="00BD51D4">
        <w:rPr>
          <w:rFonts w:asciiTheme="majorBidi" w:hAnsiTheme="majorBidi" w:cstheme="majorBidi"/>
          <w:sz w:val="22"/>
          <w:szCs w:val="22"/>
          <w:lang w:val="sv-SE"/>
        </w:rPr>
        <w:fldChar w:fldCharType="begin" w:fldLock="1"/>
      </w:r>
      <w:r w:rsidR="007A6D54">
        <w:rPr>
          <w:rFonts w:asciiTheme="majorBidi" w:hAnsiTheme="majorBidi" w:cstheme="majorBidi"/>
          <w:sz w:val="22"/>
          <w:szCs w:val="22"/>
          <w:lang w:val="sv-SE"/>
        </w:rPr>
        <w:instrText>ADDIN CSL_CITATION {"citationItems":[{"id":"ITEM-1","itemData":{"abstract":"… pemerintah yang berada di Alexandria, VA bernama National Board Professional Teaching Standards, menawarkan program sertifikasi bagi guru, penilik sekolah, pustakawan sekolah. …","author":[{"dropping-particle":"","family":"Mulyasa","given":"E","non-dropping-particle":"","parse-names":false,"suffix":""}],"id":"ITEM-1","issued":{"date-parts":[["2015"]]},"number-of-pages":"34","publisher":"Remaja Rosdakarya","publisher-place":"Bandung","title":"Menjadi Guru Profesional. In menjadi guru profesional","type":"book"},"suppress-author":1,"uris":["http://www.mendeley.com/documents/?uuid=4a0c65b9-feba-40b1-9f38-68e015ff2494"]}],"mendeley":{"formattedCitation":"(2015)","plainTextFormattedCitation":"(2015)","previouslyFormattedCitation":"(2015)"},"properties":{"noteIndex":0},"schema":"https://github.com/citation-style-language/schema/raw/master/csl-citation.json"}</w:instrText>
      </w:r>
      <w:r w:rsidR="00BD51D4">
        <w:rPr>
          <w:rFonts w:asciiTheme="majorBidi" w:hAnsiTheme="majorBidi" w:cstheme="majorBidi"/>
          <w:sz w:val="22"/>
          <w:szCs w:val="22"/>
          <w:lang w:val="sv-SE"/>
        </w:rPr>
        <w:fldChar w:fldCharType="separate"/>
      </w:r>
      <w:r w:rsidR="00BD51D4" w:rsidRPr="00BD51D4">
        <w:rPr>
          <w:rFonts w:asciiTheme="majorBidi" w:hAnsiTheme="majorBidi" w:cstheme="majorBidi"/>
          <w:noProof/>
          <w:sz w:val="22"/>
          <w:szCs w:val="22"/>
          <w:lang w:val="sv-SE"/>
        </w:rPr>
        <w:t>(2015)</w:t>
      </w:r>
      <w:r w:rsidR="00BD51D4">
        <w:rPr>
          <w:rFonts w:asciiTheme="majorBidi" w:hAnsiTheme="majorBidi" w:cstheme="majorBidi"/>
          <w:sz w:val="22"/>
          <w:szCs w:val="22"/>
          <w:lang w:val="sv-SE"/>
        </w:rPr>
        <w:fldChar w:fldCharType="end"/>
      </w:r>
      <w:r w:rsidR="00BD51D4">
        <w:rPr>
          <w:rFonts w:asciiTheme="majorBidi" w:hAnsiTheme="majorBidi" w:cstheme="majorBidi"/>
          <w:sz w:val="22"/>
          <w:szCs w:val="22"/>
          <w:lang w:val="sv-SE"/>
        </w:rPr>
        <w:t xml:space="preserve">, </w:t>
      </w:r>
      <w:r w:rsidRPr="0052045B">
        <w:rPr>
          <w:rFonts w:asciiTheme="majorBidi" w:hAnsiTheme="majorBidi" w:cstheme="majorBidi"/>
          <w:sz w:val="22"/>
          <w:szCs w:val="22"/>
          <w:lang w:val="sv-SE"/>
        </w:rPr>
        <w:t>profesionalisme guru mencakup kompetensi pedagogik, profesional, kepribadian, dan sosial yang harus dikembangkan melalui pembinaan berkelanjutan.</w:t>
      </w:r>
    </w:p>
    <w:p w14:paraId="760419A9" w14:textId="64C4E551"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Sejalan dengan itu, penelitian Zamakhsyari Dhofier </w:t>
      </w:r>
      <w:r w:rsidR="007A6D54">
        <w:rPr>
          <w:rFonts w:asciiTheme="majorBidi" w:hAnsiTheme="majorBidi" w:cstheme="majorBidi"/>
          <w:sz w:val="22"/>
          <w:szCs w:val="22"/>
          <w:lang w:val="sv-SE"/>
        </w:rPr>
        <w:fldChar w:fldCharType="begin" w:fldLock="1"/>
      </w:r>
      <w:r w:rsidR="003455F7">
        <w:rPr>
          <w:rFonts w:asciiTheme="majorBidi" w:hAnsiTheme="majorBidi" w:cstheme="majorBidi"/>
          <w:sz w:val="22"/>
          <w:szCs w:val="22"/>
          <w:lang w:val="sv-SE"/>
        </w:rPr>
        <w:instrText>ADDIN CSL_CITATION {"citationItems":[{"id":"ITEM-1","itemData":{"author":[{"dropping-particle":"","family":"Dhofier Zamakhsyari","given":"","non-dropping-particle":"","parse-names":false,"suffix":""}],"id":"ITEM-1","issued":{"date-parts":[["2019"]]},"number-of-pages":"79-93","publisher":"LP3ES","publisher-place":"Jakarta","title":"Tradisi pesantren, study pandangan hidup kyai dan visinya mengenai masa depan Indonesia","type":"book"},"suppress-author":1,"uris":["http://www.mendeley.com/documents/?uuid=4e64fb53-38da-491e-89da-577d01ef1c3d"]}],"mendeley":{"formattedCitation":"(2019)","plainTextFormattedCitation":"(2019)","previouslyFormattedCitation":"(2019)"},"properties":{"noteIndex":0},"schema":"https://github.com/citation-style-language/schema/raw/master/csl-citation.json"}</w:instrText>
      </w:r>
      <w:r w:rsidR="007A6D54">
        <w:rPr>
          <w:rFonts w:asciiTheme="majorBidi" w:hAnsiTheme="majorBidi" w:cstheme="majorBidi"/>
          <w:sz w:val="22"/>
          <w:szCs w:val="22"/>
          <w:lang w:val="sv-SE"/>
        </w:rPr>
        <w:fldChar w:fldCharType="separate"/>
      </w:r>
      <w:r w:rsidR="007A6D54" w:rsidRPr="007A6D54">
        <w:rPr>
          <w:rFonts w:asciiTheme="majorBidi" w:hAnsiTheme="majorBidi" w:cstheme="majorBidi"/>
          <w:noProof/>
          <w:sz w:val="22"/>
          <w:szCs w:val="22"/>
          <w:lang w:val="sv-SE"/>
        </w:rPr>
        <w:t>(2019)</w:t>
      </w:r>
      <w:r w:rsidR="007A6D54">
        <w:rPr>
          <w:rFonts w:asciiTheme="majorBidi" w:hAnsiTheme="majorBidi" w:cstheme="majorBidi"/>
          <w:sz w:val="22"/>
          <w:szCs w:val="22"/>
          <w:lang w:val="sv-SE"/>
        </w:rPr>
        <w:fldChar w:fldCharType="end"/>
      </w:r>
      <w:r w:rsidRPr="0052045B">
        <w:rPr>
          <w:rFonts w:asciiTheme="majorBidi" w:hAnsiTheme="majorBidi" w:cstheme="majorBidi"/>
          <w:sz w:val="22"/>
          <w:szCs w:val="22"/>
          <w:lang w:val="sv-SE"/>
        </w:rPr>
        <w:t xml:space="preserve"> tentang pesantren menunjukkan bahwa peran kiai atau guru tidak hanya sebagai pengajar, tetapi juga sebagai pengasuh yang menjadi teladan. Akreditasi dengan indikator penilaian kinerja guru membantu memperkuat peran tersebut dalam kerangka yang lebih sistematis.</w:t>
      </w:r>
    </w:p>
    <w:p w14:paraId="16594C47" w14:textId="77777777" w:rsidR="006D2852" w:rsidRPr="0052045B" w:rsidRDefault="006D2852" w:rsidP="006D2852">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7ACFF836"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Perubahan Aktivitas Belajar Santri</w:t>
      </w:r>
    </w:p>
    <w:p w14:paraId="17722735"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Hasil penelitian memperlihatkan bahwa santri lebih termotivasi dengan adanya jadwal pembelajaran yang terstruktur dan evaluasi yang lebih jelas. Hal ini sesuai dengan teori belajar konstruktivistik Vygotsky (1978) yang menekankan pentingnya struktur, interaksi sosial, dan bimbingan dalam membangun pemahaman peserta didik.</w:t>
      </w:r>
    </w:p>
    <w:p w14:paraId="1156CBD6" w14:textId="042EE9B1"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Dalam penelitian </w:t>
      </w:r>
      <w:r w:rsidR="003455F7" w:rsidRPr="003455F7">
        <w:rPr>
          <w:rFonts w:asciiTheme="majorBidi" w:hAnsiTheme="majorBidi" w:cstheme="majorBidi"/>
          <w:noProof/>
          <w:sz w:val="22"/>
          <w:szCs w:val="22"/>
          <w:lang w:val="sv-SE"/>
        </w:rPr>
        <w:t>Ghofururrohim</w:t>
      </w:r>
      <w:r w:rsidR="003455F7">
        <w:rPr>
          <w:rFonts w:asciiTheme="majorBidi" w:hAnsiTheme="majorBidi" w:cstheme="majorBidi"/>
          <w:sz w:val="22"/>
          <w:szCs w:val="22"/>
          <w:lang w:val="sv-SE"/>
        </w:rPr>
        <w:t xml:space="preserve">  </w:t>
      </w:r>
      <w:r w:rsidR="003455F7">
        <w:rPr>
          <w:rFonts w:asciiTheme="majorBidi" w:hAnsiTheme="majorBidi" w:cstheme="majorBidi"/>
          <w:sz w:val="22"/>
          <w:szCs w:val="22"/>
          <w:lang w:val="sv-SE"/>
        </w:rPr>
        <w:fldChar w:fldCharType="begin" w:fldLock="1"/>
      </w:r>
      <w:r w:rsidR="00C256F4">
        <w:rPr>
          <w:rFonts w:asciiTheme="majorBidi" w:hAnsiTheme="majorBidi" w:cstheme="majorBidi"/>
          <w:sz w:val="22"/>
          <w:szCs w:val="22"/>
          <w:lang w:val="sv-SE"/>
        </w:rPr>
        <w:instrText>ADDIN CSL_CITATION {"citationItems":[{"id":"ITEM-1","itemData":{"ISSN":"2775-2305","author":[{"dropping-particle":"","family":"Ghofururrohim","given":"Abdul","non-dropping-particle":"","parse-names":false,"suffix":""}],"container-title":"Bulletin of Pedagogical Research","id":"ITEM-1","issue":"1","issued":{"date-parts":[["2025"]]},"page":"145-158","title":"Sustaining Tradition in Modern Times: The Educational System of Salafiyah Boarding School at Darul A’mal Metro City","type":"article-journal","volume":"5"},"suppress-author":1,"uris":["http://www.mendeley.com/documents/?uuid=533a6fdf-2067-490e-bcee-1516dfa27488"]}],"mendeley":{"formattedCitation":"(2025)","plainTextFormattedCitation":"(2025)","previouslyFormattedCitation":"(2025)"},"properties":{"noteIndex":0},"schema":"https://github.com/citation-style-language/schema/raw/master/csl-citation.json"}</w:instrText>
      </w:r>
      <w:r w:rsidR="003455F7">
        <w:rPr>
          <w:rFonts w:asciiTheme="majorBidi" w:hAnsiTheme="majorBidi" w:cstheme="majorBidi"/>
          <w:sz w:val="22"/>
          <w:szCs w:val="22"/>
          <w:lang w:val="sv-SE"/>
        </w:rPr>
        <w:fldChar w:fldCharType="separate"/>
      </w:r>
      <w:r w:rsidR="003455F7" w:rsidRPr="003455F7">
        <w:rPr>
          <w:rFonts w:asciiTheme="majorBidi" w:hAnsiTheme="majorBidi" w:cstheme="majorBidi"/>
          <w:noProof/>
          <w:sz w:val="22"/>
          <w:szCs w:val="22"/>
          <w:lang w:val="sv-SE"/>
        </w:rPr>
        <w:t>(2025)</w:t>
      </w:r>
      <w:r w:rsidR="003455F7">
        <w:rPr>
          <w:rFonts w:asciiTheme="majorBidi" w:hAnsiTheme="majorBidi" w:cstheme="majorBidi"/>
          <w:sz w:val="22"/>
          <w:szCs w:val="22"/>
          <w:lang w:val="sv-SE"/>
        </w:rPr>
        <w:fldChar w:fldCharType="end"/>
      </w:r>
      <w:r w:rsidR="003455F7">
        <w:rPr>
          <w:rFonts w:asciiTheme="majorBidi" w:hAnsiTheme="majorBidi" w:cstheme="majorBidi"/>
          <w:sz w:val="22"/>
          <w:szCs w:val="22"/>
          <w:lang w:val="sv-SE"/>
        </w:rPr>
        <w:t xml:space="preserve">, </w:t>
      </w:r>
      <w:r w:rsidRPr="0052045B">
        <w:rPr>
          <w:rFonts w:asciiTheme="majorBidi" w:hAnsiTheme="majorBidi" w:cstheme="majorBidi"/>
          <w:sz w:val="22"/>
          <w:szCs w:val="22"/>
          <w:lang w:val="sv-SE"/>
        </w:rPr>
        <w:t>santri yang belajar dengan metode terarah terbukti memiliki daya serap lebih baik dibandingkan mereka yang hanya mengandalkan pola pengajaran tradisional yang tidak terdokumentasi.</w:t>
      </w:r>
      <w:r w:rsidR="00C256F4">
        <w:rPr>
          <w:rFonts w:asciiTheme="majorBidi" w:hAnsiTheme="majorBidi" w:cstheme="majorBidi"/>
          <w:sz w:val="22"/>
          <w:szCs w:val="22"/>
          <w:lang w:val="sv-SE"/>
        </w:rPr>
        <w:fldChar w:fldCharType="begin" w:fldLock="1"/>
      </w:r>
      <w:r w:rsidR="003C7A86">
        <w:rPr>
          <w:rFonts w:asciiTheme="majorBidi" w:hAnsiTheme="majorBidi" w:cstheme="majorBidi"/>
          <w:sz w:val="22"/>
          <w:szCs w:val="22"/>
          <w:lang w:val="sv-SE"/>
        </w:rPr>
        <w:instrText>ADDIN CSL_CITATION {"citationItems":[{"id":"ITEM-1","itemData":{"author":[{"dropping-particle":"","family":"Hidayatullah","given":"Maulana Syarif","non-dropping-particle":"","parse-names":false,"suffix":""}],"id":"ITEM-1","issued":{"date-parts":[["2024"]]},"publisher":"Universitas Islam Indonesia","title":"Modernisasi Kurikulum dan Metode Pembelajaran dalam Sistem Pendidikan Pondok Pesantren (Studi Kasus Pondok Pesantren Al-Amanah Al-Gontory Tangerang Selatan Banten)","type":"article"},"uris":["http://www.mendeley.com/documents/?uuid=68fa62b8-44d7-49d9-bd9d-ba23bd0563cb"]}],"mendeley":{"formattedCitation":"(Hidayatullah, 2024)","plainTextFormattedCitation":"(Hidayatullah, 2024)","previouslyFormattedCitation":"(Hidayatullah, 2024)"},"properties":{"noteIndex":0},"schema":"https://github.com/citation-style-language/schema/raw/master/csl-citation.json"}</w:instrText>
      </w:r>
      <w:r w:rsidR="00C256F4">
        <w:rPr>
          <w:rFonts w:asciiTheme="majorBidi" w:hAnsiTheme="majorBidi" w:cstheme="majorBidi"/>
          <w:sz w:val="22"/>
          <w:szCs w:val="22"/>
          <w:lang w:val="sv-SE"/>
        </w:rPr>
        <w:fldChar w:fldCharType="separate"/>
      </w:r>
      <w:r w:rsidR="00C256F4" w:rsidRPr="00C256F4">
        <w:rPr>
          <w:rFonts w:asciiTheme="majorBidi" w:hAnsiTheme="majorBidi" w:cstheme="majorBidi"/>
          <w:noProof/>
          <w:sz w:val="22"/>
          <w:szCs w:val="22"/>
          <w:lang w:val="sv-SE"/>
        </w:rPr>
        <w:t>(Hidayatullah, 2024)</w:t>
      </w:r>
      <w:r w:rsidR="00C256F4">
        <w:rPr>
          <w:rFonts w:asciiTheme="majorBidi" w:hAnsiTheme="majorBidi" w:cstheme="majorBidi"/>
          <w:sz w:val="22"/>
          <w:szCs w:val="22"/>
          <w:lang w:val="sv-SE"/>
        </w:rPr>
        <w:fldChar w:fldCharType="end"/>
      </w:r>
      <w:r w:rsidR="00C256F4">
        <w:rPr>
          <w:rFonts w:asciiTheme="majorBidi" w:hAnsiTheme="majorBidi" w:cstheme="majorBidi"/>
          <w:sz w:val="22"/>
          <w:szCs w:val="22"/>
          <w:lang w:val="sv-SE"/>
        </w:rPr>
        <w:t xml:space="preserve"> </w:t>
      </w:r>
      <w:r w:rsidRPr="0052045B">
        <w:rPr>
          <w:rFonts w:asciiTheme="majorBidi" w:hAnsiTheme="majorBidi" w:cstheme="majorBidi"/>
          <w:sz w:val="22"/>
          <w:szCs w:val="22"/>
          <w:lang w:val="sv-SE"/>
        </w:rPr>
        <w:t xml:space="preserve"> Dengan demikian, akreditasi membantu menciptakan lingkungan belajar yang kondusif tanpa menghilangkan esensi tradisi lisan dalam pembelajaran kitab kuning.</w:t>
      </w:r>
    </w:p>
    <w:p w14:paraId="49D69155" w14:textId="77777777" w:rsidR="006D2852" w:rsidRPr="0052045B" w:rsidRDefault="006D2852" w:rsidP="006D2852">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47923362"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lastRenderedPageBreak/>
        <w:t>Tata Kelola dan Manajemen Dayah</w:t>
      </w:r>
    </w:p>
    <w:p w14:paraId="4ECA17B5" w14:textId="41047A72"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Akreditasi juga membawa perubahan pada aspek tata kelola dayah, </w:t>
      </w:r>
      <w:r w:rsidR="00C256F4">
        <w:rPr>
          <w:rFonts w:asciiTheme="majorBidi" w:hAnsiTheme="majorBidi" w:cstheme="majorBidi"/>
          <w:sz w:val="22"/>
          <w:szCs w:val="22"/>
          <w:lang w:val="sv-SE"/>
        </w:rPr>
        <w:t>yaitu</w:t>
      </w:r>
      <w:r w:rsidRPr="0052045B">
        <w:rPr>
          <w:rFonts w:asciiTheme="majorBidi" w:hAnsiTheme="majorBidi" w:cstheme="majorBidi"/>
          <w:sz w:val="22"/>
          <w:szCs w:val="22"/>
          <w:lang w:val="sv-SE"/>
        </w:rPr>
        <w:t xml:space="preserve"> adanya struktur organisasi, laporan keuangan, serta dokumentasi kegiatan yang lebih tertib. Hal ini sejalan dengan teori manajemen pendidikan yang dikemukakan oleh</w:t>
      </w:r>
      <w:r w:rsidR="003C7A86">
        <w:rPr>
          <w:rFonts w:asciiTheme="majorBidi" w:hAnsiTheme="majorBidi" w:cstheme="majorBidi"/>
          <w:sz w:val="22"/>
          <w:szCs w:val="22"/>
          <w:lang w:val="sv-SE"/>
        </w:rPr>
        <w:t xml:space="preserve"> </w:t>
      </w:r>
      <w:r w:rsidR="003C7A86" w:rsidRPr="0052045B">
        <w:rPr>
          <w:rFonts w:asciiTheme="majorBidi" w:hAnsiTheme="majorBidi" w:cstheme="majorBidi"/>
          <w:sz w:val="22"/>
          <w:szCs w:val="22"/>
          <w:lang w:val="sv-SE"/>
        </w:rPr>
        <w:t>Terry (2010)</w:t>
      </w:r>
      <w:r w:rsidR="003C7A86">
        <w:rPr>
          <w:rFonts w:asciiTheme="majorBidi" w:hAnsiTheme="majorBidi" w:cstheme="majorBidi"/>
          <w:sz w:val="22"/>
          <w:szCs w:val="22"/>
          <w:lang w:val="sv-SE"/>
        </w:rPr>
        <w:t xml:space="preserve"> dalam</w:t>
      </w:r>
      <w:r w:rsidRPr="0052045B">
        <w:rPr>
          <w:rFonts w:asciiTheme="majorBidi" w:hAnsiTheme="majorBidi" w:cstheme="majorBidi"/>
          <w:sz w:val="22"/>
          <w:szCs w:val="22"/>
          <w:lang w:val="sv-SE"/>
        </w:rPr>
        <w:t xml:space="preserve"> </w:t>
      </w:r>
      <w:r w:rsidR="003C7A86">
        <w:rPr>
          <w:rFonts w:asciiTheme="majorBidi" w:hAnsiTheme="majorBidi" w:cstheme="majorBidi"/>
          <w:sz w:val="22"/>
          <w:szCs w:val="22"/>
          <w:lang w:val="sv-SE"/>
        </w:rPr>
        <w:fldChar w:fldCharType="begin" w:fldLock="1"/>
      </w:r>
      <w:r w:rsidR="00310DA5">
        <w:rPr>
          <w:rFonts w:asciiTheme="majorBidi" w:hAnsiTheme="majorBidi" w:cstheme="majorBidi"/>
          <w:sz w:val="22"/>
          <w:szCs w:val="22"/>
          <w:lang w:val="sv-SE"/>
        </w:rPr>
        <w:instrText>ADDIN CSL_CITATION {"citationItems":[{"id":"ITEM-1","itemData":{"ISSN":"2580-9652","author":[{"dropping-particle":"","family":"Maujud","given":"Fathul","non-dropping-particle":"","parse-names":false,"suffix":""}],"container-title":"Jurnal Penelitian Keislaman","id":"ITEM-1","issue":"1","issued":{"date-parts":[["2018"]]},"page":"31-51","title":"Implementasi fungsi-fungsi manajemen dalam lembaga pendidikan islam (studi kasus pengelolaan Madrasah Ibtidaiyah Islahul Muta’allim Pagutan)","type":"article-journal","volume":"14"},"uris":["http://www.mendeley.com/documents/?uuid=4d99d9e7-5a71-40a9-b289-577269b6eb23"]},{"id":"ITEM-2","itemData":{"ISSN":"2541-2108","author":[{"dropping-particle":"","family":"Talibo","given":"Ishak","non-dropping-particle":"","parse-names":false,"suffix":""}],"container-title":"Jurnal Ilmiah Iqra'","id":"ITEM-2","issue":"1","issued":{"date-parts":[["2018"]]},"title":"Fungsi manajemen dalam perencanaan pembelajaran","type":"article-journal","volume":"7"},"uris":["http://www.mendeley.com/documents/?uuid=fdafbc12-3529-480b-a2f8-d54e98856a5c"]}],"mendeley":{"formattedCitation":"(Maujud, 2018; Talibo, 2018)","plainTextFormattedCitation":"(Maujud, 2018; Talibo, 2018)","previouslyFormattedCitation":"(Maujud, 2018; Talibo, 2018)"},"properties":{"noteIndex":0},"schema":"https://github.com/citation-style-language/schema/raw/master/csl-citation.json"}</w:instrText>
      </w:r>
      <w:r w:rsidR="003C7A86">
        <w:rPr>
          <w:rFonts w:asciiTheme="majorBidi" w:hAnsiTheme="majorBidi" w:cstheme="majorBidi"/>
          <w:sz w:val="22"/>
          <w:szCs w:val="22"/>
          <w:lang w:val="sv-SE"/>
        </w:rPr>
        <w:fldChar w:fldCharType="separate"/>
      </w:r>
      <w:r w:rsidR="00310DA5" w:rsidRPr="00310DA5">
        <w:rPr>
          <w:rFonts w:asciiTheme="majorBidi" w:hAnsiTheme="majorBidi" w:cstheme="majorBidi"/>
          <w:noProof/>
          <w:sz w:val="22"/>
          <w:szCs w:val="22"/>
          <w:lang w:val="sv-SE"/>
        </w:rPr>
        <w:t>(Maujud, 2018; Talibo, 2018)</w:t>
      </w:r>
      <w:r w:rsidR="003C7A86">
        <w:rPr>
          <w:rFonts w:asciiTheme="majorBidi" w:hAnsiTheme="majorBidi" w:cstheme="majorBidi"/>
          <w:sz w:val="22"/>
          <w:szCs w:val="22"/>
          <w:lang w:val="sv-SE"/>
        </w:rPr>
        <w:fldChar w:fldCharType="end"/>
      </w:r>
      <w:r w:rsidRPr="0052045B">
        <w:rPr>
          <w:rFonts w:asciiTheme="majorBidi" w:hAnsiTheme="majorBidi" w:cstheme="majorBidi"/>
          <w:sz w:val="22"/>
          <w:szCs w:val="22"/>
          <w:lang w:val="sv-SE"/>
        </w:rPr>
        <w:t xml:space="preserve"> yaitu bahwa fungsi manajemen meliputi perencanaan, pengorganisasian, pelaksanaan, dan pengawasan.</w:t>
      </w:r>
    </w:p>
    <w:p w14:paraId="39FC642E" w14:textId="41EDF5BC"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Penelitian Ismail </w:t>
      </w:r>
      <w:r w:rsidR="00310DA5">
        <w:rPr>
          <w:rFonts w:asciiTheme="majorBidi" w:hAnsiTheme="majorBidi" w:cstheme="majorBidi"/>
          <w:sz w:val="22"/>
          <w:szCs w:val="22"/>
          <w:lang w:val="sv-SE"/>
        </w:rPr>
        <w:fldChar w:fldCharType="begin" w:fldLock="1"/>
      </w:r>
      <w:r w:rsidR="00310DA5">
        <w:rPr>
          <w:rFonts w:asciiTheme="majorBidi" w:hAnsiTheme="majorBidi" w:cstheme="majorBidi"/>
          <w:sz w:val="22"/>
          <w:szCs w:val="22"/>
          <w:lang w:val="sv-SE"/>
        </w:rPr>
        <w:instrText>ADDIN CSL_CITATION {"citationItems":[{"id":"ITEM-1","itemData":{"author":[{"dropping-particle":"","family":"Ismail","given":"M","non-dropping-particle":"","parse-names":false,"suffix":""}],"container-title":"Jurnal Pendidikan Islam","id":"ITEM-1","issue":"2","issued":{"date-parts":[["2021"]]},"page":"145-160","title":"Akreditasi dayah dan implikasinya terhadap mutu pendidikan Islam di Aceh","type":"article-journal","volume":"7"},"suppress-author":1,"uris":["http://www.mendeley.com/documents/?uuid=3d48f915-0b89-462a-8635-1e13b1b7ffdf"]}],"mendeley":{"formattedCitation":"(2021)","plainTextFormattedCitation":"(2021)","previouslyFormattedCitation":"(2021)"},"properties":{"noteIndex":0},"schema":"https://github.com/citation-style-language/schema/raw/master/csl-citation.json"}</w:instrText>
      </w:r>
      <w:r w:rsidR="00310DA5">
        <w:rPr>
          <w:rFonts w:asciiTheme="majorBidi" w:hAnsiTheme="majorBidi" w:cstheme="majorBidi"/>
          <w:sz w:val="22"/>
          <w:szCs w:val="22"/>
          <w:lang w:val="sv-SE"/>
        </w:rPr>
        <w:fldChar w:fldCharType="separate"/>
      </w:r>
      <w:r w:rsidR="00310DA5" w:rsidRPr="00310DA5">
        <w:rPr>
          <w:rFonts w:asciiTheme="majorBidi" w:hAnsiTheme="majorBidi" w:cstheme="majorBidi"/>
          <w:noProof/>
          <w:sz w:val="22"/>
          <w:szCs w:val="22"/>
          <w:lang w:val="sv-SE"/>
        </w:rPr>
        <w:t>(2021)</w:t>
      </w:r>
      <w:r w:rsidR="00310DA5">
        <w:rPr>
          <w:rFonts w:asciiTheme="majorBidi" w:hAnsiTheme="majorBidi" w:cstheme="majorBidi"/>
          <w:sz w:val="22"/>
          <w:szCs w:val="22"/>
          <w:lang w:val="sv-SE"/>
        </w:rPr>
        <w:fldChar w:fldCharType="end"/>
      </w:r>
      <w:r w:rsidRPr="0052045B">
        <w:rPr>
          <w:rFonts w:asciiTheme="majorBidi" w:hAnsiTheme="majorBidi" w:cstheme="majorBidi"/>
          <w:sz w:val="22"/>
          <w:szCs w:val="22"/>
          <w:lang w:val="sv-SE"/>
        </w:rPr>
        <w:t xml:space="preserve"> menegaskan bahwa tata kelola yang baik di lembaga pendidikan Islam, termasuk dayah, dapat meningkatkan akuntabilitas, transparansi, serta daya saing lembaga tersebut.</w:t>
      </w:r>
      <w:r w:rsidR="00310DA5">
        <w:rPr>
          <w:rFonts w:asciiTheme="majorBidi" w:hAnsiTheme="majorBidi" w:cstheme="majorBidi"/>
          <w:sz w:val="22"/>
          <w:szCs w:val="22"/>
          <w:lang w:val="sv-SE"/>
        </w:rPr>
        <w:fldChar w:fldCharType="begin" w:fldLock="1"/>
      </w:r>
      <w:r w:rsidR="00310DA5">
        <w:rPr>
          <w:rFonts w:asciiTheme="majorBidi" w:hAnsiTheme="majorBidi" w:cstheme="majorBidi"/>
          <w:sz w:val="22"/>
          <w:szCs w:val="22"/>
          <w:lang w:val="sv-SE"/>
        </w:rPr>
        <w:instrText>ADDIN CSL_CITATION {"citationItems":[{"id":"ITEM-1","itemData":{"ISSN":"2775-0833","author":[{"dropping-particle":"","family":"Wakila","given":"Yasya Fauzan","non-dropping-particle":"","parse-names":false,"suffix":""}],"container-title":"Equivalent: Jurnal Ilmiah Sosial Teknik","id":"ITEM-1","issue":"1","issued":{"date-parts":[["2021"]]},"page":"43-56","title":"Konsep dan fungsi manajemen pendidikan","type":"article-journal","volume":"3"},"uris":["http://www.mendeley.com/documents/?uuid=ab2e2e9c-7575-420e-a037-45b3209c1e82"]}],"mendeley":{"formattedCitation":"(Wakila, 2021)","plainTextFormattedCitation":"(Wakila, 2021)","previouslyFormattedCitation":"(Wakila, 2021)"},"properties":{"noteIndex":0},"schema":"https://github.com/citation-style-language/schema/raw/master/csl-citation.json"}</w:instrText>
      </w:r>
      <w:r w:rsidR="00310DA5">
        <w:rPr>
          <w:rFonts w:asciiTheme="majorBidi" w:hAnsiTheme="majorBidi" w:cstheme="majorBidi"/>
          <w:sz w:val="22"/>
          <w:szCs w:val="22"/>
          <w:lang w:val="sv-SE"/>
        </w:rPr>
        <w:fldChar w:fldCharType="separate"/>
      </w:r>
      <w:r w:rsidR="00310DA5" w:rsidRPr="00310DA5">
        <w:rPr>
          <w:rFonts w:asciiTheme="majorBidi" w:hAnsiTheme="majorBidi" w:cstheme="majorBidi"/>
          <w:noProof/>
          <w:sz w:val="22"/>
          <w:szCs w:val="22"/>
          <w:lang w:val="sv-SE"/>
        </w:rPr>
        <w:t>(Wakila, 2021)</w:t>
      </w:r>
      <w:r w:rsidR="00310DA5">
        <w:rPr>
          <w:rFonts w:asciiTheme="majorBidi" w:hAnsiTheme="majorBidi" w:cstheme="majorBidi"/>
          <w:sz w:val="22"/>
          <w:szCs w:val="22"/>
          <w:lang w:val="sv-SE"/>
        </w:rPr>
        <w:fldChar w:fldCharType="end"/>
      </w:r>
      <w:r w:rsidRPr="0052045B">
        <w:rPr>
          <w:rFonts w:asciiTheme="majorBidi" w:hAnsiTheme="majorBidi" w:cstheme="majorBidi"/>
          <w:sz w:val="22"/>
          <w:szCs w:val="22"/>
          <w:lang w:val="sv-SE"/>
        </w:rPr>
        <w:t xml:space="preserve"> Maka, akreditasi berfungsi sebagai instrumen yang mengubah tata kelola tradisional menjadi lebih profesional, tanpa harus menghapus kharisma kepemimpinan </w:t>
      </w:r>
      <w:r w:rsidRPr="0052045B">
        <w:rPr>
          <w:rStyle w:val="Emphasis"/>
          <w:rFonts w:asciiTheme="majorBidi" w:hAnsiTheme="majorBidi" w:cstheme="majorBidi"/>
          <w:sz w:val="22"/>
          <w:szCs w:val="22"/>
          <w:lang w:val="sv-SE"/>
        </w:rPr>
        <w:t>teungku</w:t>
      </w:r>
      <w:r w:rsidRPr="0052045B">
        <w:rPr>
          <w:rFonts w:asciiTheme="majorBidi" w:hAnsiTheme="majorBidi" w:cstheme="majorBidi"/>
          <w:sz w:val="22"/>
          <w:szCs w:val="22"/>
          <w:lang w:val="sv-SE"/>
        </w:rPr>
        <w:t>.</w:t>
      </w:r>
    </w:p>
    <w:p w14:paraId="229C01FE" w14:textId="77777777" w:rsidR="006D2852" w:rsidRPr="0052045B" w:rsidRDefault="006D2852" w:rsidP="006D2852">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56053979"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Peningkatan Kepercayaan Masyarakat</w:t>
      </w:r>
    </w:p>
    <w:p w14:paraId="217ACCBF" w14:textId="77777777"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Masyarakat lebih percaya menitipkan anak-anak mereka ke dayah yang telah terakreditasi. Kepercayaan ini erat kaitannya dengan konsep legitimasi sosial sebagaimana dijelaskan oleh Suchman (1995), yaitu penerimaan masyarakat terhadap sebuah institusi ketika institusi tersebut menunjukkan kompetensi, integritas, dan kepatuhan pada standar tertentu.</w:t>
      </w:r>
    </w:p>
    <w:p w14:paraId="7F0D838A" w14:textId="723087BE"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Penelitian</w:t>
      </w:r>
      <w:r w:rsidR="00310DA5">
        <w:rPr>
          <w:rFonts w:asciiTheme="majorBidi" w:hAnsiTheme="majorBidi" w:cstheme="majorBidi"/>
          <w:sz w:val="22"/>
          <w:szCs w:val="22"/>
          <w:lang w:val="sv-SE"/>
        </w:rPr>
        <w:t xml:space="preserve"> Azra</w:t>
      </w:r>
      <w:r w:rsidRPr="0052045B">
        <w:rPr>
          <w:rFonts w:asciiTheme="majorBidi" w:hAnsiTheme="majorBidi" w:cstheme="majorBidi"/>
          <w:sz w:val="22"/>
          <w:szCs w:val="22"/>
          <w:lang w:val="sv-SE"/>
        </w:rPr>
        <w:t xml:space="preserve"> </w:t>
      </w:r>
      <w:r w:rsidR="00310DA5">
        <w:rPr>
          <w:rFonts w:asciiTheme="majorBidi" w:hAnsiTheme="majorBidi" w:cstheme="majorBidi"/>
          <w:sz w:val="22"/>
          <w:szCs w:val="22"/>
          <w:lang w:val="sv-SE"/>
        </w:rPr>
        <w:fldChar w:fldCharType="begin" w:fldLock="1"/>
      </w:r>
      <w:r w:rsidR="00086E2D">
        <w:rPr>
          <w:rFonts w:asciiTheme="majorBidi" w:hAnsiTheme="majorBidi" w:cstheme="majorBidi"/>
          <w:sz w:val="22"/>
          <w:szCs w:val="22"/>
          <w:lang w:val="sv-SE"/>
        </w:rPr>
        <w:instrText>ADDIN CSL_CITATION {"citationItems":[{"id":"ITEM-1","itemData":{"author":[{"dropping-particle":"","family":"Azra","given":"A.","non-dropping-particle":"","parse-names":false,"suffix":""}],"id":"ITEM-1","issued":{"date-parts":[["2019"]]},"number-of-pages":"23","publisher":"Kencana","publisher-place":"Jakarta","title":"Pendidikan Islam: Tradisi dan Modernisasi Menuju Milenium Baru. Jakarta: Logos Wacana Ilmu.","type":"book"},"suppress-author":1,"uris":["http://www.mendeley.com/documents/?uuid=cea9ce68-01e6-4e15-9b54-c73e5dc9507c"]}],"mendeley":{"formattedCitation":"(2019)","plainTextFormattedCitation":"(2019)","previouslyFormattedCitation":"(2019)"},"properties":{"noteIndex":0},"schema":"https://github.com/citation-style-language/schema/raw/master/csl-citation.json"}</w:instrText>
      </w:r>
      <w:r w:rsidR="00310DA5">
        <w:rPr>
          <w:rFonts w:asciiTheme="majorBidi" w:hAnsiTheme="majorBidi" w:cstheme="majorBidi"/>
          <w:sz w:val="22"/>
          <w:szCs w:val="22"/>
          <w:lang w:val="sv-SE"/>
        </w:rPr>
        <w:fldChar w:fldCharType="separate"/>
      </w:r>
      <w:r w:rsidR="00310DA5" w:rsidRPr="00310DA5">
        <w:rPr>
          <w:rFonts w:asciiTheme="majorBidi" w:hAnsiTheme="majorBidi" w:cstheme="majorBidi"/>
          <w:noProof/>
          <w:sz w:val="22"/>
          <w:szCs w:val="22"/>
          <w:lang w:val="sv-SE"/>
        </w:rPr>
        <w:t>(2019)</w:t>
      </w:r>
      <w:r w:rsidR="00310DA5">
        <w:rPr>
          <w:rFonts w:asciiTheme="majorBidi" w:hAnsiTheme="majorBidi" w:cstheme="majorBidi"/>
          <w:sz w:val="22"/>
          <w:szCs w:val="22"/>
          <w:lang w:val="sv-SE"/>
        </w:rPr>
        <w:fldChar w:fldCharType="end"/>
      </w:r>
      <w:r w:rsidRPr="0052045B">
        <w:rPr>
          <w:rFonts w:asciiTheme="majorBidi" w:hAnsiTheme="majorBidi" w:cstheme="majorBidi"/>
          <w:sz w:val="22"/>
          <w:szCs w:val="22"/>
          <w:lang w:val="sv-SE"/>
        </w:rPr>
        <w:t xml:space="preserve"> menambahkan bahwa keberadaan sertifikasi atau akreditasi meningkatkan daya tawar lembaga pendidikan Islam dalam menghadapi tantangan globalisasi. Dengan demikian, akreditasi tidak hanya berdampak pada internal dayah, tetapi juga memperkuat posisi eksternal dayah di mata masyarakat.</w:t>
      </w:r>
    </w:p>
    <w:p w14:paraId="447C4243" w14:textId="77777777" w:rsidR="006D2852" w:rsidRPr="0052045B" w:rsidRDefault="006D2852" w:rsidP="006D2852">
      <w:pPr>
        <w:pStyle w:val="NormalWeb"/>
        <w:spacing w:before="0" w:beforeAutospacing="0" w:after="0" w:afterAutospacing="0" w:line="360" w:lineRule="auto"/>
        <w:ind w:firstLine="720"/>
        <w:jc w:val="both"/>
        <w:rPr>
          <w:rFonts w:asciiTheme="majorBidi" w:hAnsiTheme="majorBidi" w:cstheme="majorBidi"/>
          <w:sz w:val="22"/>
          <w:szCs w:val="22"/>
          <w:lang w:val="sv-SE"/>
        </w:rPr>
      </w:pPr>
    </w:p>
    <w:p w14:paraId="6E06EB5D" w14:textId="77777777" w:rsidR="006D2852" w:rsidRPr="0052045B" w:rsidRDefault="006D2852" w:rsidP="006D2852">
      <w:pPr>
        <w:pStyle w:val="Heading4"/>
        <w:numPr>
          <w:ilvl w:val="0"/>
          <w:numId w:val="6"/>
        </w:numPr>
        <w:spacing w:before="0" w:line="360" w:lineRule="auto"/>
        <w:ind w:left="360"/>
        <w:rPr>
          <w:rFonts w:asciiTheme="majorBidi" w:hAnsiTheme="majorBidi"/>
          <w:b/>
          <w:bCs/>
          <w:i w:val="0"/>
          <w:iCs w:val="0"/>
          <w:color w:val="auto"/>
          <w:sz w:val="22"/>
          <w:lang w:val="sv-SE"/>
        </w:rPr>
      </w:pPr>
      <w:r w:rsidRPr="0052045B">
        <w:rPr>
          <w:rFonts w:asciiTheme="majorBidi" w:hAnsiTheme="majorBidi"/>
          <w:b/>
          <w:bCs/>
          <w:i w:val="0"/>
          <w:iCs w:val="0"/>
          <w:color w:val="auto"/>
          <w:sz w:val="22"/>
          <w:lang w:val="sv-SE"/>
        </w:rPr>
        <w:t>Tantangan Implementasi Akreditasi</w:t>
      </w:r>
    </w:p>
    <w:p w14:paraId="1A8045A0" w14:textId="2CEF1E13" w:rsidR="006D2852" w:rsidRPr="0052045B"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 xml:space="preserve">Meskipun memberikan dampak positif, penelitian juga menemukan adanya tantangan, seperti keterbatasan SDM asesor, kesulitan pengisian borang, serta resistensi sebagian pimpinan dayah. Kondisi ini sejalan dengan temuan </w:t>
      </w:r>
      <w:r w:rsidR="00086E2D">
        <w:rPr>
          <w:rFonts w:asciiTheme="majorBidi" w:hAnsiTheme="majorBidi" w:cstheme="majorBidi"/>
          <w:sz w:val="22"/>
          <w:szCs w:val="22"/>
          <w:lang w:val="sv-SE"/>
        </w:rPr>
        <w:fldChar w:fldCharType="begin" w:fldLock="1"/>
      </w:r>
      <w:r w:rsidR="00086E2D">
        <w:rPr>
          <w:rFonts w:asciiTheme="majorBidi" w:hAnsiTheme="majorBidi" w:cstheme="majorBidi"/>
          <w:sz w:val="22"/>
          <w:szCs w:val="22"/>
          <w:lang w:val="sv-SE"/>
        </w:rPr>
        <w:instrText>ADDIN CSL_CITATION {"citationItems":[{"id":"ITEM-1","itemData":{"ISSN":"2827-7937","author":[{"dropping-particle":"","family":"Harmathilda","given":"Harmathilda","non-dropping-particle":"","parse-names":false,"suffix":""},{"dropping-particle":"","family":"Yuli","given":"Yuli","non-dropping-particle":"","parse-names":false,"suffix":""},{"dropping-particle":"","family":"Hakim","given":"Arief Rahman","non-dropping-particle":"","parse-names":false,"suffix":""},{"dropping-particle":"","family":"Damayanti","given":"Damayanti","non-dropping-particle":"","parse-names":false,"suffix":""},{"dropping-particle":"","family":"Supriyadi","given":"Cecep","non-dropping-particle":"","parse-names":false,"suffix":""}],"container-title":"Karimiyah","id":"ITEM-1","issue":"1","issued":{"date-parts":[["2024"]]},"page":"33-50","title":"Transformasi Pendidikan Pesantren Di Era Modern: Antara Tradisi Dan Inovasi","type":"article-journal","volume":"4"},"uris":["http://www.mendeley.com/documents/?uuid=e14c4816-62bd-415f-9aad-43b089a77734"]}],"mendeley":{"formattedCitation":"(Harmathilda et al., 2024)","plainTextFormattedCitation":"(Harmathilda et al., 2024)","previouslyFormattedCitation":"(Harmathilda et al., 2024)"},"properties":{"noteIndex":0},"schema":"https://github.com/citation-style-language/schema/raw/master/csl-citation.json"}</w:instrText>
      </w:r>
      <w:r w:rsidR="00086E2D">
        <w:rPr>
          <w:rFonts w:asciiTheme="majorBidi" w:hAnsiTheme="majorBidi" w:cstheme="majorBidi"/>
          <w:sz w:val="22"/>
          <w:szCs w:val="22"/>
          <w:lang w:val="sv-SE"/>
        </w:rPr>
        <w:fldChar w:fldCharType="separate"/>
      </w:r>
      <w:r w:rsidR="00086E2D" w:rsidRPr="00086E2D">
        <w:rPr>
          <w:rFonts w:asciiTheme="majorBidi" w:hAnsiTheme="majorBidi" w:cstheme="majorBidi"/>
          <w:noProof/>
          <w:sz w:val="22"/>
          <w:szCs w:val="22"/>
          <w:lang w:val="sv-SE"/>
        </w:rPr>
        <w:t>(Harmathilda et al., 2024)</w:t>
      </w:r>
      <w:r w:rsidR="00086E2D">
        <w:rPr>
          <w:rFonts w:asciiTheme="majorBidi" w:hAnsiTheme="majorBidi" w:cstheme="majorBidi"/>
          <w:sz w:val="22"/>
          <w:szCs w:val="22"/>
          <w:lang w:val="sv-SE"/>
        </w:rPr>
        <w:fldChar w:fldCharType="end"/>
      </w:r>
      <w:r w:rsidR="00086E2D">
        <w:rPr>
          <w:rFonts w:asciiTheme="majorBidi" w:hAnsiTheme="majorBidi" w:cstheme="majorBidi"/>
          <w:sz w:val="22"/>
          <w:szCs w:val="22"/>
          <w:lang w:val="sv-SE"/>
        </w:rPr>
        <w:t xml:space="preserve"> </w:t>
      </w:r>
      <w:r w:rsidRPr="0052045B">
        <w:rPr>
          <w:rFonts w:asciiTheme="majorBidi" w:hAnsiTheme="majorBidi" w:cstheme="majorBidi"/>
          <w:sz w:val="22"/>
          <w:szCs w:val="22"/>
          <w:lang w:val="sv-SE"/>
        </w:rPr>
        <w:t>bahwa pesantren tradisional sering kali mengalami kesulitan dalam beradaptasi dengan standar administrasi modern karena terbiasa dengan sistem nonformal berbasis tradisi.</w:t>
      </w:r>
    </w:p>
    <w:p w14:paraId="72245CC0" w14:textId="096E0EF9" w:rsidR="008F737D" w:rsidRPr="008F737D" w:rsidRDefault="006D2852" w:rsidP="008F737D">
      <w:pPr>
        <w:pStyle w:val="NormalWeb"/>
        <w:spacing w:before="0" w:beforeAutospacing="0" w:after="0" w:afterAutospacing="0" w:line="360" w:lineRule="auto"/>
        <w:ind w:left="295" w:firstLine="720"/>
        <w:jc w:val="both"/>
        <w:rPr>
          <w:rFonts w:asciiTheme="majorBidi" w:hAnsiTheme="majorBidi" w:cstheme="majorBidi"/>
          <w:sz w:val="22"/>
          <w:szCs w:val="22"/>
          <w:lang w:val="sv-SE"/>
        </w:rPr>
      </w:pPr>
      <w:r w:rsidRPr="0052045B">
        <w:rPr>
          <w:rFonts w:asciiTheme="majorBidi" w:hAnsiTheme="majorBidi" w:cstheme="majorBidi"/>
          <w:sz w:val="22"/>
          <w:szCs w:val="22"/>
          <w:lang w:val="sv-SE"/>
        </w:rPr>
        <w:t>Oleh karena itu, akreditasi perlu dipahami bukan sekadar sebagai beban administrasi, melainkan sebagai instrumen pembinaan. Pendekatan persuasif dan pendampingan berkelanjutan menjadi kunci agar proses akreditasi dapat berjalan efektif</w:t>
      </w:r>
      <w:r w:rsidR="00086E2D">
        <w:rPr>
          <w:rFonts w:asciiTheme="majorBidi" w:hAnsiTheme="majorBidi" w:cstheme="majorBidi"/>
          <w:sz w:val="22"/>
          <w:szCs w:val="22"/>
          <w:lang w:val="sv-SE"/>
        </w:rPr>
        <w:t xml:space="preserve"> </w:t>
      </w:r>
      <w:r w:rsidR="00086E2D">
        <w:rPr>
          <w:rFonts w:asciiTheme="majorBidi" w:hAnsiTheme="majorBidi" w:cstheme="majorBidi"/>
          <w:sz w:val="22"/>
          <w:szCs w:val="22"/>
          <w:lang w:val="sv-SE"/>
        </w:rPr>
        <w:fldChar w:fldCharType="begin" w:fldLock="1"/>
      </w:r>
      <w:r w:rsidR="00472EB4">
        <w:rPr>
          <w:rFonts w:asciiTheme="majorBidi" w:hAnsiTheme="majorBidi" w:cstheme="majorBidi"/>
          <w:sz w:val="22"/>
          <w:szCs w:val="22"/>
          <w:lang w:val="sv-SE"/>
        </w:rPr>
        <w:instrText>ADDIN CSL_CITATION {"citationItems":[{"id":"ITEM-1","itemData":{"ISBN":"6231745716","author":[{"dropping-particle":"","family":"Madihah","given":"Husnul","non-dropping-particle":"","parse-names":false,"suffix":""},{"dropping-particle":"","family":"Cahyanto","given":"Iman","non-dropping-particle":"","parse-names":false,"suffix":""}],"id":"ITEM-1","issued":{"date-parts":[["0"]]},"publisher":"Penerbit K-Media","title":"Manajemen Mutu Pendidikan: Strategi Praktis Menuju Pendidikan Berkualitas dan Berkelanjutan","type":"book"},"uris":["http://www.mendeley.com/documents/?uuid=4e8d3864-d74e-43b0-9113-ec2625932274"]}],"mendeley":{"formattedCitation":"(Madihah &amp; Cahyanto, n.d.)","plainTextFormattedCitation":"(Madihah &amp; Cahyanto, n.d.)","previouslyFormattedCitation":"(Madihah &amp; Cahyanto, n.d.)"},"properties":{"noteIndex":0},"schema":"https://github.com/citation-style-language/schema/raw/master/csl-citation.json"}</w:instrText>
      </w:r>
      <w:r w:rsidR="00086E2D">
        <w:rPr>
          <w:rFonts w:asciiTheme="majorBidi" w:hAnsiTheme="majorBidi" w:cstheme="majorBidi"/>
          <w:sz w:val="22"/>
          <w:szCs w:val="22"/>
          <w:lang w:val="sv-SE"/>
        </w:rPr>
        <w:fldChar w:fldCharType="separate"/>
      </w:r>
      <w:r w:rsidR="00086E2D" w:rsidRPr="00086E2D">
        <w:rPr>
          <w:rFonts w:asciiTheme="majorBidi" w:hAnsiTheme="majorBidi" w:cstheme="majorBidi"/>
          <w:noProof/>
          <w:sz w:val="22"/>
          <w:szCs w:val="22"/>
          <w:lang w:val="sv-SE"/>
        </w:rPr>
        <w:t>(Madihah &amp; Cahyanto, n.d.)</w:t>
      </w:r>
      <w:r w:rsidR="00086E2D">
        <w:rPr>
          <w:rFonts w:asciiTheme="majorBidi" w:hAnsiTheme="majorBidi" w:cstheme="majorBidi"/>
          <w:sz w:val="22"/>
          <w:szCs w:val="22"/>
          <w:lang w:val="sv-SE"/>
        </w:rPr>
        <w:fldChar w:fldCharType="end"/>
      </w:r>
      <w:r w:rsidRPr="0052045B">
        <w:rPr>
          <w:rFonts w:asciiTheme="majorBidi" w:hAnsiTheme="majorBidi" w:cstheme="majorBidi"/>
          <w:sz w:val="22"/>
          <w:szCs w:val="22"/>
          <w:lang w:val="sv-SE"/>
        </w:rPr>
        <w:t>.</w:t>
      </w:r>
    </w:p>
    <w:p w14:paraId="2809C66E" w14:textId="77777777" w:rsidR="008F737D" w:rsidRDefault="00B16F2E">
      <w:pPr>
        <w:pBdr>
          <w:top w:val="nil"/>
          <w:left w:val="nil"/>
          <w:bottom w:val="nil"/>
          <w:right w:val="nil"/>
          <w:between w:val="nil"/>
        </w:pBdr>
        <w:spacing w:before="240" w:line="360" w:lineRule="auto"/>
        <w:ind w:firstLine="0"/>
        <w:rPr>
          <w:rFonts w:eastAsia="Times New Roman"/>
          <w:b/>
          <w:color w:val="000000"/>
          <w:lang w:val="sv-SE"/>
        </w:rPr>
      </w:pPr>
      <w:r w:rsidRPr="00C327CE">
        <w:rPr>
          <w:rFonts w:eastAsia="Times New Roman"/>
          <w:b/>
          <w:color w:val="000000"/>
          <w:lang w:val="sv-SE"/>
        </w:rPr>
        <w:t>KESIMPULAN</w:t>
      </w:r>
    </w:p>
    <w:p w14:paraId="5853547F" w14:textId="77777777" w:rsidR="008F737D" w:rsidRPr="008F737D" w:rsidRDefault="008F737D" w:rsidP="008F737D">
      <w:pPr>
        <w:spacing w:line="360" w:lineRule="auto"/>
        <w:ind w:firstLine="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sv-SE" w:eastAsia="id-ID"/>
        </w:rPr>
        <w:t xml:space="preserve">Berdasarkan hasil dan pembahasan penelitian </w:t>
      </w:r>
      <w:r w:rsidRPr="008F737D">
        <w:rPr>
          <w:rFonts w:asciiTheme="majorBidi" w:eastAsia="Times New Roman" w:hAnsiTheme="majorBidi" w:cstheme="majorBidi"/>
          <w:sz w:val="22"/>
          <w:szCs w:val="22"/>
          <w:lang w:val="id-ID" w:eastAsia="id-ID"/>
        </w:rPr>
        <w:t xml:space="preserve">menunjukkan bahwa akreditasi yang dilakukan oleh Badan Akreditasi Dayah Aceh (BADA) memberikan dampak signifikan terhadap peningkatan kualitas pembelajaran kitab kuning di dayah Aceh. Akreditasi berperan tidak hanya sebagai instrumen administratif, </w:t>
      </w:r>
      <w:r w:rsidRPr="008F737D">
        <w:rPr>
          <w:rFonts w:asciiTheme="majorBidi" w:eastAsia="Times New Roman" w:hAnsiTheme="majorBidi" w:cstheme="majorBidi"/>
          <w:sz w:val="22"/>
          <w:szCs w:val="22"/>
          <w:lang w:val="sv-SE" w:eastAsia="id-ID"/>
        </w:rPr>
        <w:t xml:space="preserve">akan </w:t>
      </w:r>
      <w:r w:rsidRPr="008F737D">
        <w:rPr>
          <w:rFonts w:asciiTheme="majorBidi" w:eastAsia="Times New Roman" w:hAnsiTheme="majorBidi" w:cstheme="majorBidi"/>
          <w:sz w:val="22"/>
          <w:szCs w:val="22"/>
          <w:lang w:val="id-ID" w:eastAsia="id-ID"/>
        </w:rPr>
        <w:t>tetapi juga sebagai sarana pembinaan mutu pendidikan Islam tradisional.</w:t>
      </w:r>
    </w:p>
    <w:p w14:paraId="0FDD6DD9" w14:textId="77777777" w:rsidR="008F737D" w:rsidRPr="008F737D" w:rsidRDefault="008F737D" w:rsidP="008F737D">
      <w:pPr>
        <w:spacing w:line="360" w:lineRule="auto"/>
        <w:ind w:firstLine="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i/>
          <w:iCs/>
          <w:sz w:val="22"/>
          <w:szCs w:val="22"/>
          <w:lang w:val="id-ID" w:eastAsia="id-ID"/>
        </w:rPr>
        <w:lastRenderedPageBreak/>
        <w:t>Pertama</w:t>
      </w:r>
      <w:r w:rsidRPr="008F737D">
        <w:rPr>
          <w:rFonts w:asciiTheme="majorBidi" w:eastAsia="Times New Roman" w:hAnsiTheme="majorBidi" w:cstheme="majorBidi"/>
          <w:sz w:val="22"/>
          <w:szCs w:val="22"/>
          <w:lang w:val="id-ID" w:eastAsia="id-ID"/>
        </w:rPr>
        <w:t xml:space="preserve">, akreditasi mendorong penataan kurikulum dan silabus kitab kuning sehingga pembelajaran menjadi lebih terstruktur tanpa menghilangkan identitas khas dayah. </w:t>
      </w:r>
      <w:r w:rsidRPr="008F737D">
        <w:rPr>
          <w:rFonts w:asciiTheme="majorBidi" w:eastAsia="Times New Roman" w:hAnsiTheme="majorBidi" w:cstheme="majorBidi"/>
          <w:i/>
          <w:iCs/>
          <w:sz w:val="22"/>
          <w:szCs w:val="22"/>
          <w:lang w:val="id-ID" w:eastAsia="id-ID"/>
        </w:rPr>
        <w:t>Kedua,</w:t>
      </w:r>
      <w:r w:rsidRPr="008F737D">
        <w:rPr>
          <w:rFonts w:asciiTheme="majorBidi" w:eastAsia="Times New Roman" w:hAnsiTheme="majorBidi" w:cstheme="majorBidi"/>
          <w:sz w:val="22"/>
          <w:szCs w:val="22"/>
          <w:lang w:val="id-ID" w:eastAsia="id-ID"/>
        </w:rPr>
        <w:t xml:space="preserve"> profesionalisme guru kitab kuning meningkat melalui tuntutan penyusunan portofolio, pelatihan, dan evaluasi kinerja. </w:t>
      </w:r>
      <w:r w:rsidRPr="008F737D">
        <w:rPr>
          <w:rFonts w:asciiTheme="majorBidi" w:eastAsia="Times New Roman" w:hAnsiTheme="majorBidi" w:cstheme="majorBidi"/>
          <w:i/>
          <w:iCs/>
          <w:sz w:val="22"/>
          <w:szCs w:val="22"/>
          <w:lang w:val="id-ID" w:eastAsia="id-ID"/>
        </w:rPr>
        <w:t>Ketiga,</w:t>
      </w:r>
      <w:r w:rsidRPr="008F737D">
        <w:rPr>
          <w:rFonts w:asciiTheme="majorBidi" w:eastAsia="Times New Roman" w:hAnsiTheme="majorBidi" w:cstheme="majorBidi"/>
          <w:sz w:val="22"/>
          <w:szCs w:val="22"/>
          <w:lang w:val="id-ID" w:eastAsia="id-ID"/>
        </w:rPr>
        <w:t xml:space="preserve"> aktivitas belajar santri menjadi lebih terarah berkat adanya jadwal, evaluasi, dan sistem dokumentasi yang lebih baik. </w:t>
      </w:r>
      <w:r w:rsidRPr="008F737D">
        <w:rPr>
          <w:rFonts w:asciiTheme="majorBidi" w:eastAsia="Times New Roman" w:hAnsiTheme="majorBidi" w:cstheme="majorBidi"/>
          <w:i/>
          <w:iCs/>
          <w:sz w:val="22"/>
          <w:szCs w:val="22"/>
          <w:lang w:val="id-ID" w:eastAsia="id-ID"/>
        </w:rPr>
        <w:t>Keempat</w:t>
      </w:r>
      <w:r w:rsidRPr="008F737D">
        <w:rPr>
          <w:rFonts w:asciiTheme="majorBidi" w:eastAsia="Times New Roman" w:hAnsiTheme="majorBidi" w:cstheme="majorBidi"/>
          <w:sz w:val="22"/>
          <w:szCs w:val="22"/>
          <w:lang w:val="id-ID" w:eastAsia="id-ID"/>
        </w:rPr>
        <w:t>, tata kelola dan manajemen dayah mengalami perbaikan, terutama dalam aspek administrasi, organisasi, dan laporan kegiatan. Kelima, status akreditasi meningkatkan kepercayaan masyarakat terhadap dayah dan memperkuat pengakuan sosial alumni.</w:t>
      </w:r>
      <w:r w:rsidRPr="008F737D">
        <w:rPr>
          <w:rFonts w:asciiTheme="majorBidi" w:eastAsia="Times New Roman" w:hAnsiTheme="majorBidi" w:cstheme="majorBidi"/>
          <w:sz w:val="22"/>
          <w:szCs w:val="22"/>
          <w:lang w:val="sv-SE" w:eastAsia="id-ID"/>
        </w:rPr>
        <w:t xml:space="preserve"> </w:t>
      </w:r>
      <w:r w:rsidRPr="008F737D">
        <w:rPr>
          <w:rFonts w:asciiTheme="majorBidi" w:eastAsia="Times New Roman" w:hAnsiTheme="majorBidi" w:cstheme="majorBidi"/>
          <w:sz w:val="22"/>
          <w:szCs w:val="22"/>
          <w:lang w:val="id-ID" w:eastAsia="id-ID"/>
        </w:rPr>
        <w:t>Meskipun demikian, tantangan masih ditemui,</w:t>
      </w:r>
      <w:r w:rsidRPr="008F737D">
        <w:rPr>
          <w:rFonts w:asciiTheme="majorBidi" w:eastAsia="Times New Roman" w:hAnsiTheme="majorBidi" w:cstheme="majorBidi"/>
          <w:sz w:val="22"/>
          <w:szCs w:val="22"/>
          <w:lang w:val="sv-SE" w:eastAsia="id-ID"/>
        </w:rPr>
        <w:t xml:space="preserve"> di lapangan yaitu </w:t>
      </w:r>
      <w:r w:rsidRPr="008F737D">
        <w:rPr>
          <w:rFonts w:asciiTheme="majorBidi" w:eastAsia="Times New Roman" w:hAnsiTheme="majorBidi" w:cstheme="majorBidi"/>
          <w:sz w:val="22"/>
          <w:szCs w:val="22"/>
          <w:lang w:val="id-ID" w:eastAsia="id-ID"/>
        </w:rPr>
        <w:t>keterbatasan jumlah asesor, kesulitan pengisian borang, serta resistensi sebagian pimpinan dayah terhadap sistem baru. Oleh karena itu, akreditasi perlu terus dikembangkan dengan pendekatan persuasif, pendampingan berkelanjutan, serta digitalisasi sistem agar lebih efektif dan adaptif terhadap dinamika pendidikan Islam kontemporer.</w:t>
      </w:r>
    </w:p>
    <w:p w14:paraId="3E2A2D58" w14:textId="6D50956C" w:rsidR="00A41870" w:rsidRDefault="008F737D" w:rsidP="008F737D">
      <w:pPr>
        <w:spacing w:line="360" w:lineRule="auto"/>
        <w:ind w:firstLine="72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t>Dengan demikian, akreditasi terbukti mampu memperkuat tradisi pendidikan kitab kuning sekaligus menyesuaikannya dengan kebutuhan mutu pendidikan modern, sehingga dayah tetap relevan dan berdaya saing dalam konteks sosial pendidikan di Aceh.</w:t>
      </w:r>
    </w:p>
    <w:p w14:paraId="47814A71" w14:textId="77777777" w:rsidR="00FC5DC3" w:rsidRDefault="00FC5DC3" w:rsidP="008F737D">
      <w:pPr>
        <w:spacing w:line="360" w:lineRule="auto"/>
        <w:ind w:firstLine="720"/>
        <w:rPr>
          <w:rFonts w:asciiTheme="majorBidi" w:eastAsia="Times New Roman" w:hAnsiTheme="majorBidi" w:cstheme="majorBidi"/>
          <w:sz w:val="22"/>
          <w:szCs w:val="22"/>
          <w:lang w:val="id-ID" w:eastAsia="id-ID"/>
        </w:rPr>
      </w:pPr>
    </w:p>
    <w:p w14:paraId="4AAD5DB2" w14:textId="77777777" w:rsidR="008F737D" w:rsidRPr="000A69E2" w:rsidRDefault="008F737D" w:rsidP="008F737D">
      <w:pPr>
        <w:spacing w:line="360" w:lineRule="auto"/>
        <w:ind w:firstLine="0"/>
        <w:rPr>
          <w:rFonts w:asciiTheme="majorBidi" w:eastAsia="Times New Roman" w:hAnsiTheme="majorBidi" w:cstheme="majorBidi"/>
          <w:b/>
          <w:bCs/>
          <w:szCs w:val="24"/>
          <w:lang w:val="sv-SE" w:eastAsia="id-ID"/>
        </w:rPr>
      </w:pPr>
      <w:r w:rsidRPr="000A69E2">
        <w:rPr>
          <w:rFonts w:asciiTheme="majorBidi" w:eastAsia="Times New Roman" w:hAnsiTheme="majorBidi" w:cstheme="majorBidi"/>
          <w:b/>
          <w:bCs/>
          <w:szCs w:val="24"/>
          <w:lang w:val="sv-SE" w:eastAsia="id-ID"/>
        </w:rPr>
        <w:t xml:space="preserve">UCAPAN TERIMA KASIH </w:t>
      </w:r>
    </w:p>
    <w:p w14:paraId="77F05DD0" w14:textId="77777777" w:rsidR="008F737D" w:rsidRPr="008F737D" w:rsidRDefault="008F737D" w:rsidP="008F737D">
      <w:pPr>
        <w:spacing w:line="360" w:lineRule="auto"/>
        <w:ind w:firstLine="0"/>
        <w:rPr>
          <w:rFonts w:asciiTheme="majorBidi" w:eastAsia="Times New Roman" w:hAnsiTheme="majorBidi" w:cstheme="majorBidi"/>
          <w:sz w:val="22"/>
          <w:szCs w:val="22"/>
          <w:lang w:val="id-ID" w:eastAsia="id-ID"/>
        </w:rPr>
      </w:pPr>
      <w:r w:rsidRPr="008F737D">
        <w:rPr>
          <w:rFonts w:asciiTheme="majorBidi" w:eastAsia="Times New Roman" w:hAnsiTheme="majorBidi" w:cstheme="majorBidi"/>
          <w:sz w:val="22"/>
          <w:szCs w:val="22"/>
          <w:lang w:val="id-ID" w:eastAsia="id-ID"/>
        </w:rPr>
        <w:t>Penulis menyampaikan rasa syukur kepada Allah Swt. atas rahmat dan karunia-Nya sehingga penelitian ini dapat diselesaikan dengan baik. Ucapan terima kasih yang sebesar-besarnya penulis sampaikan kepada Badan Akreditasi Dayah Aceh (BADA) yang telah memberikan kesempatan, dukungan data, dan informasi berharga selama proses penelitian. Penghargaan juga ditujukan kepada para pimpinan dayah, guru kitab kuning, serta santri yang telah meluangkan waktu untuk memberikan wawancara, pandangan, serta pengalaman nyata yang sangat berarti dalam penyusunan penelitian ini. Tidak lupa penulis mengucapkan terima kasih kepada rekan-rekan akademisi dan peneliti yang telah memberikan masukan dalam proses perbaikan naskah.</w:t>
      </w:r>
      <w:r w:rsidRPr="008F737D">
        <w:rPr>
          <w:rFonts w:asciiTheme="majorBidi" w:eastAsia="Times New Roman" w:hAnsiTheme="majorBidi" w:cstheme="majorBidi"/>
          <w:sz w:val="22"/>
          <w:szCs w:val="22"/>
          <w:lang w:val="sv-SE" w:eastAsia="id-ID"/>
        </w:rPr>
        <w:t xml:space="preserve"> </w:t>
      </w:r>
      <w:r w:rsidRPr="008F737D">
        <w:rPr>
          <w:rFonts w:asciiTheme="majorBidi" w:eastAsia="Times New Roman" w:hAnsiTheme="majorBidi" w:cstheme="majorBidi"/>
          <w:sz w:val="22"/>
          <w:szCs w:val="22"/>
          <w:lang w:val="id-ID" w:eastAsia="id-ID"/>
        </w:rPr>
        <w:t>Akhirnya, penulis menyadari bahwa tanpa dukungan, doa, dan bantuan dari berbagai pihak, penelitian ini tidak akan terselesaikan dengan baik. Semoga segala bentuk kontribusi yang diberikan mendapatkan balasan yang layak dari Allah Swt.</w:t>
      </w:r>
    </w:p>
    <w:p w14:paraId="5B4BE0D5" w14:textId="7DB8C7F0" w:rsidR="008F737D" w:rsidRDefault="008F737D" w:rsidP="008F737D">
      <w:pPr>
        <w:ind w:firstLine="0"/>
        <w:rPr>
          <w:rFonts w:asciiTheme="majorBidi" w:eastAsia="Times New Roman" w:hAnsiTheme="majorBidi" w:cstheme="majorBidi"/>
          <w:szCs w:val="24"/>
          <w:lang w:val="id-ID" w:eastAsia="id-ID"/>
        </w:rPr>
      </w:pPr>
    </w:p>
    <w:p w14:paraId="5B8BBCB1" w14:textId="77777777" w:rsidR="008F737D" w:rsidRPr="00C327CE" w:rsidRDefault="008F737D" w:rsidP="008F737D">
      <w:pPr>
        <w:pBdr>
          <w:top w:val="nil"/>
          <w:left w:val="nil"/>
          <w:bottom w:val="nil"/>
          <w:right w:val="nil"/>
          <w:between w:val="nil"/>
        </w:pBdr>
        <w:spacing w:before="240" w:line="360" w:lineRule="auto"/>
        <w:ind w:firstLine="0"/>
        <w:rPr>
          <w:rFonts w:eastAsia="Times New Roman"/>
          <w:b/>
          <w:color w:val="000000"/>
          <w:lang w:val="sv-SE"/>
        </w:rPr>
      </w:pPr>
      <w:r w:rsidRPr="00C327CE">
        <w:rPr>
          <w:rFonts w:eastAsia="Times New Roman"/>
          <w:b/>
          <w:color w:val="000000"/>
          <w:lang w:val="sv-SE"/>
        </w:rPr>
        <w:t>DAFTAR PUSTAKA</w:t>
      </w:r>
    </w:p>
    <w:p w14:paraId="742BCF73" w14:textId="582E83FA" w:rsidR="00E56CA3" w:rsidRPr="00E56CA3" w:rsidRDefault="00472EB4" w:rsidP="00E56CA3">
      <w:pPr>
        <w:autoSpaceDE w:val="0"/>
        <w:autoSpaceDN w:val="0"/>
        <w:adjustRightInd w:val="0"/>
        <w:spacing w:before="120"/>
        <w:ind w:left="480" w:hanging="480"/>
        <w:rPr>
          <w:noProof/>
          <w:sz w:val="22"/>
          <w:szCs w:val="24"/>
        </w:rPr>
      </w:pPr>
      <w:r>
        <w:rPr>
          <w:rFonts w:asciiTheme="majorBidi" w:hAnsiTheme="majorBidi" w:cstheme="majorBidi"/>
          <w:sz w:val="22"/>
          <w:szCs w:val="22"/>
        </w:rPr>
        <w:t xml:space="preserve"> </w:t>
      </w:r>
      <w:r>
        <w:rPr>
          <w:rFonts w:asciiTheme="majorBidi" w:hAnsiTheme="majorBidi" w:cstheme="majorBidi"/>
          <w:sz w:val="22"/>
          <w:szCs w:val="22"/>
        </w:rPr>
        <w:fldChar w:fldCharType="begin" w:fldLock="1"/>
      </w:r>
      <w:r>
        <w:rPr>
          <w:rFonts w:asciiTheme="majorBidi" w:hAnsiTheme="majorBidi" w:cstheme="majorBidi"/>
          <w:sz w:val="22"/>
          <w:szCs w:val="22"/>
        </w:rPr>
        <w:instrText xml:space="preserve">ADDIN Mendeley Bibliography CSL_BIBLIOGRAPHY </w:instrText>
      </w:r>
      <w:r>
        <w:rPr>
          <w:rFonts w:asciiTheme="majorBidi" w:hAnsiTheme="majorBidi" w:cstheme="majorBidi"/>
          <w:sz w:val="22"/>
          <w:szCs w:val="22"/>
        </w:rPr>
        <w:fldChar w:fldCharType="separate"/>
      </w:r>
      <w:r w:rsidR="00E56CA3" w:rsidRPr="00E56CA3">
        <w:rPr>
          <w:noProof/>
          <w:sz w:val="22"/>
          <w:szCs w:val="24"/>
        </w:rPr>
        <w:t xml:space="preserve">Amirul Haq. (2022). Implementasi Kebijakan Kekhususan Pendidikan Aceh. </w:t>
      </w:r>
      <w:r w:rsidR="00E56CA3" w:rsidRPr="00E56CA3">
        <w:rPr>
          <w:i/>
          <w:iCs/>
          <w:noProof/>
          <w:sz w:val="22"/>
          <w:szCs w:val="24"/>
        </w:rPr>
        <w:t>Institutional Repository UIN Sunan Kalijaga Yogyakarta</w:t>
      </w:r>
      <w:r w:rsidR="00E56CA3" w:rsidRPr="00E56CA3">
        <w:rPr>
          <w:noProof/>
          <w:sz w:val="22"/>
          <w:szCs w:val="24"/>
        </w:rPr>
        <w:t>, 1–49. http://digilib.uin-suka.ac.id/id/eprint/56554</w:t>
      </w:r>
    </w:p>
    <w:p w14:paraId="4FC25E7F"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Azra, A. (2019). </w:t>
      </w:r>
      <w:r w:rsidRPr="00E56CA3">
        <w:rPr>
          <w:i/>
          <w:iCs/>
          <w:noProof/>
          <w:sz w:val="22"/>
          <w:szCs w:val="24"/>
        </w:rPr>
        <w:t>Pendidikan Islam: Tradisi dan Modernisasi Menuju Milenium Baru. Jakarta: Logos Wacana Ilmu.</w:t>
      </w:r>
      <w:r w:rsidRPr="00E56CA3">
        <w:rPr>
          <w:noProof/>
          <w:sz w:val="22"/>
          <w:szCs w:val="24"/>
        </w:rPr>
        <w:t xml:space="preserve"> Kencana.</w:t>
      </w:r>
    </w:p>
    <w:p w14:paraId="6EB00161"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Daulay, P. H. (2018). </w:t>
      </w:r>
      <w:r w:rsidRPr="00E56CA3">
        <w:rPr>
          <w:i/>
          <w:iCs/>
          <w:noProof/>
          <w:sz w:val="22"/>
          <w:szCs w:val="24"/>
        </w:rPr>
        <w:t>Sejarah Pertumbuhan dan Pembaruan Pendidikan Islam di Indonesia</w:t>
      </w:r>
      <w:r w:rsidRPr="00E56CA3">
        <w:rPr>
          <w:noProof/>
          <w:sz w:val="22"/>
          <w:szCs w:val="24"/>
        </w:rPr>
        <w:t>. Prenadamedia Group.</w:t>
      </w:r>
    </w:p>
    <w:p w14:paraId="7131DEDF"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Dhofier Zamakhsyari. (2019). </w:t>
      </w:r>
      <w:r w:rsidRPr="00E56CA3">
        <w:rPr>
          <w:i/>
          <w:iCs/>
          <w:noProof/>
          <w:sz w:val="22"/>
          <w:szCs w:val="24"/>
        </w:rPr>
        <w:t>Tradisi pesantren, study pandangan hidup kyai dan visinya mengenai masa depan Indonesia</w:t>
      </w:r>
      <w:r w:rsidRPr="00E56CA3">
        <w:rPr>
          <w:noProof/>
          <w:sz w:val="22"/>
          <w:szCs w:val="24"/>
        </w:rPr>
        <w:t>. LP3ES.</w:t>
      </w:r>
    </w:p>
    <w:p w14:paraId="213FFBF0"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Ghofururrohim, A. (2025). Sustaining Tradition in Modern Times: The Educational System of Salafiyah </w:t>
      </w:r>
      <w:r w:rsidRPr="00E56CA3">
        <w:rPr>
          <w:noProof/>
          <w:sz w:val="22"/>
          <w:szCs w:val="24"/>
        </w:rPr>
        <w:lastRenderedPageBreak/>
        <w:t xml:space="preserve">Boarding School at Darul A’mal Metro City. </w:t>
      </w:r>
      <w:r w:rsidRPr="00E56CA3">
        <w:rPr>
          <w:i/>
          <w:iCs/>
          <w:noProof/>
          <w:sz w:val="22"/>
          <w:szCs w:val="24"/>
        </w:rPr>
        <w:t>Bulletin of Pedagogical Research</w:t>
      </w:r>
      <w:r w:rsidRPr="00E56CA3">
        <w:rPr>
          <w:noProof/>
          <w:sz w:val="22"/>
          <w:szCs w:val="24"/>
        </w:rPr>
        <w:t xml:space="preserve">, </w:t>
      </w:r>
      <w:r w:rsidRPr="00E56CA3">
        <w:rPr>
          <w:i/>
          <w:iCs/>
          <w:noProof/>
          <w:sz w:val="22"/>
          <w:szCs w:val="24"/>
        </w:rPr>
        <w:t>5</w:t>
      </w:r>
      <w:r w:rsidRPr="00E56CA3">
        <w:rPr>
          <w:noProof/>
          <w:sz w:val="22"/>
          <w:szCs w:val="24"/>
        </w:rPr>
        <w:t>(1), 145–158.</w:t>
      </w:r>
    </w:p>
    <w:p w14:paraId="2EB0E175"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Harmathilda, H., Yuli, Y., Hakim, A. R., Damayanti, D., &amp; Supriyadi, C. (2024). Transformasi Pendidikan Pesantren Di Era Modern: Antara Tradisi Dan Inovasi. </w:t>
      </w:r>
      <w:r w:rsidRPr="00E56CA3">
        <w:rPr>
          <w:i/>
          <w:iCs/>
          <w:noProof/>
          <w:sz w:val="22"/>
          <w:szCs w:val="24"/>
        </w:rPr>
        <w:t>Karimiyah</w:t>
      </w:r>
      <w:r w:rsidRPr="00E56CA3">
        <w:rPr>
          <w:noProof/>
          <w:sz w:val="22"/>
          <w:szCs w:val="24"/>
        </w:rPr>
        <w:t xml:space="preserve">, </w:t>
      </w:r>
      <w:r w:rsidRPr="00E56CA3">
        <w:rPr>
          <w:i/>
          <w:iCs/>
          <w:noProof/>
          <w:sz w:val="22"/>
          <w:szCs w:val="24"/>
        </w:rPr>
        <w:t>4</w:t>
      </w:r>
      <w:r w:rsidRPr="00E56CA3">
        <w:rPr>
          <w:noProof/>
          <w:sz w:val="22"/>
          <w:szCs w:val="24"/>
        </w:rPr>
        <w:t>(1), 33–50.</w:t>
      </w:r>
    </w:p>
    <w:p w14:paraId="52C612FB"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Hasbullah. (2017). Dasar-Dasar Ilmu Pendidikan: Hakikat Ilmu Pendidikan. In </w:t>
      </w:r>
      <w:r w:rsidRPr="00E56CA3">
        <w:rPr>
          <w:i/>
          <w:iCs/>
          <w:noProof/>
          <w:sz w:val="22"/>
          <w:szCs w:val="24"/>
        </w:rPr>
        <w:t>Global Eksekutif …</w:t>
      </w:r>
      <w:r w:rsidRPr="00E56CA3">
        <w:rPr>
          <w:noProof/>
          <w:sz w:val="22"/>
          <w:szCs w:val="24"/>
        </w:rPr>
        <w:t xml:space="preserve"> (Issue June). Raja Grafindo Persada.</w:t>
      </w:r>
    </w:p>
    <w:p w14:paraId="13D2F9FB"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Hidayatullah, M. S. (2024). </w:t>
      </w:r>
      <w:r w:rsidRPr="00E56CA3">
        <w:rPr>
          <w:i/>
          <w:iCs/>
          <w:noProof/>
          <w:sz w:val="22"/>
          <w:szCs w:val="24"/>
        </w:rPr>
        <w:t>Modernisasi Kurikulum dan Metode Pembelajaran dalam Sistem Pendidikan Pondok Pesantren (Studi Kasus Pondok Pesantren Al-Amanah Al-Gontory Tangerang Selatan Banten)</w:t>
      </w:r>
      <w:r w:rsidRPr="00E56CA3">
        <w:rPr>
          <w:noProof/>
          <w:sz w:val="22"/>
          <w:szCs w:val="24"/>
        </w:rPr>
        <w:t>. Universitas Islam Indonesia.</w:t>
      </w:r>
    </w:p>
    <w:p w14:paraId="1FCCE103"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Ismail, M. (2021). Akreditasi dayah dan implikasinya terhadap mutu pendidikan Islam di Aceh. </w:t>
      </w:r>
      <w:r w:rsidRPr="00E56CA3">
        <w:rPr>
          <w:i/>
          <w:iCs/>
          <w:noProof/>
          <w:sz w:val="22"/>
          <w:szCs w:val="24"/>
        </w:rPr>
        <w:t>Jurnal Pendidikan Islam</w:t>
      </w:r>
      <w:r w:rsidRPr="00E56CA3">
        <w:rPr>
          <w:noProof/>
          <w:sz w:val="22"/>
          <w:szCs w:val="24"/>
        </w:rPr>
        <w:t xml:space="preserve">, </w:t>
      </w:r>
      <w:r w:rsidRPr="00E56CA3">
        <w:rPr>
          <w:i/>
          <w:iCs/>
          <w:noProof/>
          <w:sz w:val="22"/>
          <w:szCs w:val="24"/>
        </w:rPr>
        <w:t>7</w:t>
      </w:r>
      <w:r w:rsidRPr="00E56CA3">
        <w:rPr>
          <w:noProof/>
          <w:sz w:val="22"/>
          <w:szCs w:val="24"/>
        </w:rPr>
        <w:t>(2), 145–160.</w:t>
      </w:r>
    </w:p>
    <w:p w14:paraId="11E0E6DE"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J. Cresswell. (2007). </w:t>
      </w:r>
      <w:r w:rsidRPr="00E56CA3">
        <w:rPr>
          <w:i/>
          <w:iCs/>
          <w:noProof/>
          <w:sz w:val="22"/>
          <w:szCs w:val="24"/>
        </w:rPr>
        <w:t>Qualitative Inquiry &amp; Research Design: Choosing Among Five Approaches</w:t>
      </w:r>
      <w:r w:rsidRPr="00E56CA3">
        <w:rPr>
          <w:noProof/>
          <w:sz w:val="22"/>
          <w:szCs w:val="24"/>
        </w:rPr>
        <w:t>. SAGE.</w:t>
      </w:r>
    </w:p>
    <w:p w14:paraId="7C057DA7"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Madihah, H., &amp; Cahyanto, I. (n.d.). </w:t>
      </w:r>
      <w:r w:rsidRPr="00E56CA3">
        <w:rPr>
          <w:i/>
          <w:iCs/>
          <w:noProof/>
          <w:sz w:val="22"/>
          <w:szCs w:val="24"/>
        </w:rPr>
        <w:t>Manajemen Mutu Pendidikan: Strategi Praktis Menuju Pendidikan Berkualitas dan Berkelanjutan</w:t>
      </w:r>
      <w:r w:rsidRPr="00E56CA3">
        <w:rPr>
          <w:noProof/>
          <w:sz w:val="22"/>
          <w:szCs w:val="24"/>
        </w:rPr>
        <w:t>. Penerbit K-Media.</w:t>
      </w:r>
    </w:p>
    <w:p w14:paraId="79B279E8"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Mariyati, M., Arif, Z., &amp; Wardi, S. (2024). Perkembangan Dayah Dalam Tradisi Masyarakat Aceh: Kontribusi Kualitas Pendidikan Masyarakat. </w:t>
      </w:r>
      <w:r w:rsidRPr="00E56CA3">
        <w:rPr>
          <w:i/>
          <w:iCs/>
          <w:noProof/>
          <w:sz w:val="22"/>
          <w:szCs w:val="24"/>
        </w:rPr>
        <w:t>Jurnal Tahsinia</w:t>
      </w:r>
      <w:r w:rsidRPr="00E56CA3">
        <w:rPr>
          <w:noProof/>
          <w:sz w:val="22"/>
          <w:szCs w:val="24"/>
        </w:rPr>
        <w:t xml:space="preserve">, </w:t>
      </w:r>
      <w:r w:rsidRPr="00E56CA3">
        <w:rPr>
          <w:i/>
          <w:iCs/>
          <w:noProof/>
          <w:sz w:val="22"/>
          <w:szCs w:val="24"/>
        </w:rPr>
        <w:t>5</w:t>
      </w:r>
      <w:r w:rsidRPr="00E56CA3">
        <w:rPr>
          <w:noProof/>
          <w:sz w:val="22"/>
          <w:szCs w:val="24"/>
        </w:rPr>
        <w:t>(5), 731–741.</w:t>
      </w:r>
    </w:p>
    <w:p w14:paraId="4EFBBE6E"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Mastuki. (2020). Standar mutu pendidikan pesantren dan tantangan akreditasi. </w:t>
      </w:r>
      <w:r w:rsidRPr="00E56CA3">
        <w:rPr>
          <w:i/>
          <w:iCs/>
          <w:noProof/>
          <w:sz w:val="22"/>
          <w:szCs w:val="24"/>
        </w:rPr>
        <w:t>Edukasia: Jurnal Penelitian Pendidikan Islam</w:t>
      </w:r>
      <w:r w:rsidRPr="00E56CA3">
        <w:rPr>
          <w:noProof/>
          <w:sz w:val="22"/>
          <w:szCs w:val="24"/>
        </w:rPr>
        <w:t xml:space="preserve">, </w:t>
      </w:r>
      <w:r w:rsidRPr="00E56CA3">
        <w:rPr>
          <w:i/>
          <w:iCs/>
          <w:noProof/>
          <w:sz w:val="22"/>
          <w:szCs w:val="24"/>
        </w:rPr>
        <w:t>15</w:t>
      </w:r>
      <w:r w:rsidRPr="00E56CA3">
        <w:rPr>
          <w:noProof/>
          <w:sz w:val="22"/>
          <w:szCs w:val="24"/>
        </w:rPr>
        <w:t>(1), 33–50.</w:t>
      </w:r>
    </w:p>
    <w:p w14:paraId="2AC55342"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Matthew B, A. Michael Huberman, J. S. (2014). </w:t>
      </w:r>
      <w:r w:rsidRPr="00E56CA3">
        <w:rPr>
          <w:i/>
          <w:iCs/>
          <w:noProof/>
          <w:sz w:val="22"/>
          <w:szCs w:val="24"/>
        </w:rPr>
        <w:t>Qualitative Data Analysis A Methods Sourcebook</w:t>
      </w:r>
      <w:r w:rsidRPr="00E56CA3">
        <w:rPr>
          <w:noProof/>
          <w:sz w:val="22"/>
          <w:szCs w:val="24"/>
        </w:rPr>
        <w:t>. SAGE.</w:t>
      </w:r>
    </w:p>
    <w:p w14:paraId="6F17E7E3"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Maujud, F. (2018). Implementasi fungsi-fungsi manajemen dalam lembaga pendidikan islam (studi kasus pengelolaan Madrasah Ibtidaiyah Islahul Muta’allim Pagutan). </w:t>
      </w:r>
      <w:r w:rsidRPr="00E56CA3">
        <w:rPr>
          <w:i/>
          <w:iCs/>
          <w:noProof/>
          <w:sz w:val="22"/>
          <w:szCs w:val="24"/>
        </w:rPr>
        <w:t>Jurnal Penelitian Keislaman</w:t>
      </w:r>
      <w:r w:rsidRPr="00E56CA3">
        <w:rPr>
          <w:noProof/>
          <w:sz w:val="22"/>
          <w:szCs w:val="24"/>
        </w:rPr>
        <w:t xml:space="preserve">, </w:t>
      </w:r>
      <w:r w:rsidRPr="00E56CA3">
        <w:rPr>
          <w:i/>
          <w:iCs/>
          <w:noProof/>
          <w:sz w:val="22"/>
          <w:szCs w:val="24"/>
        </w:rPr>
        <w:t>14</w:t>
      </w:r>
      <w:r w:rsidRPr="00E56CA3">
        <w:rPr>
          <w:noProof/>
          <w:sz w:val="22"/>
          <w:szCs w:val="24"/>
        </w:rPr>
        <w:t>(1), 31–51.</w:t>
      </w:r>
    </w:p>
    <w:p w14:paraId="0327D24D"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Miles, Matthew B., A.M. Huberman,  dan J. S. (2014). </w:t>
      </w:r>
      <w:r w:rsidRPr="00E56CA3">
        <w:rPr>
          <w:i/>
          <w:iCs/>
          <w:noProof/>
          <w:sz w:val="22"/>
          <w:szCs w:val="24"/>
        </w:rPr>
        <w:t>Qualitative Data Analysis (A Methods Sourcebook)</w:t>
      </w:r>
      <w:r w:rsidRPr="00E56CA3">
        <w:rPr>
          <w:noProof/>
          <w:sz w:val="22"/>
          <w:szCs w:val="24"/>
        </w:rPr>
        <w:t xml:space="preserve"> (3rd ed.). Sage Publications.</w:t>
      </w:r>
    </w:p>
    <w:p w14:paraId="29BB7791"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Miles, H., &amp; Huberman, A. M. (2020). Saldana.(2014). Qualitative data analysis: A methods sourcebook. </w:t>
      </w:r>
      <w:r w:rsidRPr="00E56CA3">
        <w:rPr>
          <w:i/>
          <w:iCs/>
          <w:noProof/>
          <w:sz w:val="22"/>
          <w:szCs w:val="24"/>
        </w:rPr>
        <w:t>New York: Sage Publications, Inc</w:t>
      </w:r>
      <w:r w:rsidRPr="00E56CA3">
        <w:rPr>
          <w:noProof/>
          <w:sz w:val="22"/>
          <w:szCs w:val="24"/>
        </w:rPr>
        <w:t>.</w:t>
      </w:r>
    </w:p>
    <w:p w14:paraId="17E6B3DF"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Mirsal, I., Fuadi, A., Rani, S., &amp; Nuwairah, N. (2025). Implementasi Akreditasi Dayah Dalam Peningkatan Mutu Pendidikan di Aceh (Studi Kasus Dayah Darul Wustha Labuhan Haji Aceh Selatan). </w:t>
      </w:r>
      <w:r w:rsidRPr="00E56CA3">
        <w:rPr>
          <w:i/>
          <w:iCs/>
          <w:noProof/>
          <w:sz w:val="22"/>
          <w:szCs w:val="24"/>
        </w:rPr>
        <w:t>Jurnal Pendidikan Indonesia: Teori, Penelitian, Dan Inovasi</w:t>
      </w:r>
      <w:r w:rsidRPr="00E56CA3">
        <w:rPr>
          <w:noProof/>
          <w:sz w:val="22"/>
          <w:szCs w:val="24"/>
        </w:rPr>
        <w:t xml:space="preserve">, </w:t>
      </w:r>
      <w:r w:rsidRPr="00E56CA3">
        <w:rPr>
          <w:i/>
          <w:iCs/>
          <w:noProof/>
          <w:sz w:val="22"/>
          <w:szCs w:val="24"/>
        </w:rPr>
        <w:t>5</w:t>
      </w:r>
      <w:r w:rsidRPr="00E56CA3">
        <w:rPr>
          <w:noProof/>
          <w:sz w:val="22"/>
          <w:szCs w:val="24"/>
        </w:rPr>
        <w:t>(2).</w:t>
      </w:r>
    </w:p>
    <w:p w14:paraId="088F335A"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Muid, A., Habsy, A. N. M. A., Shofiyanah, D., &amp; Hidayatullah, M. P. N. (2025). Menganalisis Data Kualitatif. </w:t>
      </w:r>
      <w:r w:rsidRPr="00E56CA3">
        <w:rPr>
          <w:i/>
          <w:iCs/>
          <w:noProof/>
          <w:sz w:val="22"/>
          <w:szCs w:val="24"/>
        </w:rPr>
        <w:t>Jurnal Ilmu Pengetahuan Dan Pendidikan Islam</w:t>
      </w:r>
      <w:r w:rsidRPr="00E56CA3">
        <w:rPr>
          <w:noProof/>
          <w:sz w:val="22"/>
          <w:szCs w:val="24"/>
        </w:rPr>
        <w:t xml:space="preserve">, </w:t>
      </w:r>
      <w:r w:rsidRPr="00E56CA3">
        <w:rPr>
          <w:i/>
          <w:iCs/>
          <w:noProof/>
          <w:sz w:val="22"/>
          <w:szCs w:val="24"/>
        </w:rPr>
        <w:t>15</w:t>
      </w:r>
      <w:r w:rsidRPr="00E56CA3">
        <w:rPr>
          <w:noProof/>
          <w:sz w:val="22"/>
          <w:szCs w:val="24"/>
        </w:rPr>
        <w:t>(15), 51–55.</w:t>
      </w:r>
    </w:p>
    <w:p w14:paraId="78B1C627"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Mulyasa, E. (2015). </w:t>
      </w:r>
      <w:r w:rsidRPr="00E56CA3">
        <w:rPr>
          <w:i/>
          <w:iCs/>
          <w:noProof/>
          <w:sz w:val="22"/>
          <w:szCs w:val="24"/>
        </w:rPr>
        <w:t>Menjadi Guru Profesional. In menjadi guru profesional</w:t>
      </w:r>
      <w:r w:rsidRPr="00E56CA3">
        <w:rPr>
          <w:noProof/>
          <w:sz w:val="22"/>
          <w:szCs w:val="24"/>
        </w:rPr>
        <w:t>. Remaja Rosdakarya.</w:t>
      </w:r>
    </w:p>
    <w:p w14:paraId="570BCACA"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Rahmad, S. (2025). </w:t>
      </w:r>
      <w:r w:rsidRPr="00E56CA3">
        <w:rPr>
          <w:i/>
          <w:iCs/>
          <w:noProof/>
          <w:sz w:val="22"/>
          <w:szCs w:val="24"/>
        </w:rPr>
        <w:t>Modernisasi Manajemen Pendidikan Dayah Perspektif Al-Qur’an</w:t>
      </w:r>
      <w:r w:rsidRPr="00E56CA3">
        <w:rPr>
          <w:noProof/>
          <w:sz w:val="22"/>
          <w:szCs w:val="24"/>
        </w:rPr>
        <w:t>. Universitas PTIQ Jakarta.</w:t>
      </w:r>
    </w:p>
    <w:p w14:paraId="7A6F94B3"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Saifullah, A., Studi, P., Pendidikan, M., Islam, U., Profesor, N., &amp; Saifuddin, K. H. (2025). </w:t>
      </w:r>
      <w:r w:rsidRPr="00E56CA3">
        <w:rPr>
          <w:i/>
          <w:iCs/>
          <w:noProof/>
          <w:sz w:val="22"/>
          <w:szCs w:val="24"/>
        </w:rPr>
        <w:t>Kebijakan Pendidikan Akhlak Berbasis Kitab Kuning Di Pesantren Mahasiswa an Najah Dan Pondok Pesantren Ibnu Mas’Ud: Kajian Living Text</w:t>
      </w:r>
      <w:r w:rsidRPr="00E56CA3">
        <w:rPr>
          <w:noProof/>
          <w:sz w:val="22"/>
          <w:szCs w:val="24"/>
        </w:rPr>
        <w:t>.</w:t>
      </w:r>
    </w:p>
    <w:p w14:paraId="25A897C2"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Sanur, D. (2020). Implementasi kebijakan otonomi khusus di Aceh [implementation of special autonomy policies in Aceh]. </w:t>
      </w:r>
      <w:r w:rsidRPr="00E56CA3">
        <w:rPr>
          <w:i/>
          <w:iCs/>
          <w:noProof/>
          <w:sz w:val="22"/>
          <w:szCs w:val="24"/>
        </w:rPr>
        <w:t>Jurnal Politica Dinamika Masalah Politik Dalam Negeri Dan Hubungan Internasional</w:t>
      </w:r>
      <w:r w:rsidRPr="00E56CA3">
        <w:rPr>
          <w:noProof/>
          <w:sz w:val="22"/>
          <w:szCs w:val="24"/>
        </w:rPr>
        <w:t xml:space="preserve">, </w:t>
      </w:r>
      <w:r w:rsidRPr="00E56CA3">
        <w:rPr>
          <w:i/>
          <w:iCs/>
          <w:noProof/>
          <w:sz w:val="22"/>
          <w:szCs w:val="24"/>
        </w:rPr>
        <w:t>11</w:t>
      </w:r>
      <w:r w:rsidRPr="00E56CA3">
        <w:rPr>
          <w:noProof/>
          <w:sz w:val="22"/>
          <w:szCs w:val="24"/>
        </w:rPr>
        <w:t>(1), 65–83.</w:t>
      </w:r>
    </w:p>
    <w:p w14:paraId="4FD2A359"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Talibo, I. (2018). Fungsi manajemen dalam perencanaan pembelajaran. </w:t>
      </w:r>
      <w:r w:rsidRPr="00E56CA3">
        <w:rPr>
          <w:i/>
          <w:iCs/>
          <w:noProof/>
          <w:sz w:val="22"/>
          <w:szCs w:val="24"/>
        </w:rPr>
        <w:t>Jurnal Ilmiah Iqra’</w:t>
      </w:r>
      <w:r w:rsidRPr="00E56CA3">
        <w:rPr>
          <w:noProof/>
          <w:sz w:val="22"/>
          <w:szCs w:val="24"/>
        </w:rPr>
        <w:t xml:space="preserve">, </w:t>
      </w:r>
      <w:r w:rsidRPr="00E56CA3">
        <w:rPr>
          <w:i/>
          <w:iCs/>
          <w:noProof/>
          <w:sz w:val="22"/>
          <w:szCs w:val="24"/>
        </w:rPr>
        <w:t>7</w:t>
      </w:r>
      <w:r w:rsidRPr="00E56CA3">
        <w:rPr>
          <w:noProof/>
          <w:sz w:val="22"/>
          <w:szCs w:val="24"/>
        </w:rPr>
        <w:t>(1).</w:t>
      </w:r>
    </w:p>
    <w:p w14:paraId="5ED17E2C"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Tilaar, H. (2015). Perubahan Sosial dan Pendidikan: Pengantar Pedagogik Transformatif untuk </w:t>
      </w:r>
      <w:r w:rsidRPr="00E56CA3">
        <w:rPr>
          <w:noProof/>
          <w:sz w:val="22"/>
          <w:szCs w:val="24"/>
        </w:rPr>
        <w:lastRenderedPageBreak/>
        <w:t xml:space="preserve">Indonesia. In </w:t>
      </w:r>
      <w:r w:rsidRPr="00E56CA3">
        <w:rPr>
          <w:i/>
          <w:iCs/>
          <w:noProof/>
          <w:sz w:val="22"/>
          <w:szCs w:val="24"/>
        </w:rPr>
        <w:t>Pengaruh Harga Diskon Dan Persepsi Produk Terhadap Nilai Belanja Serta Perilaku Pembelian Konsumen</w:t>
      </w:r>
      <w:r w:rsidRPr="00E56CA3">
        <w:rPr>
          <w:noProof/>
          <w:sz w:val="22"/>
          <w:szCs w:val="24"/>
        </w:rPr>
        <w:t xml:space="preserve"> (Vol. 7, Issue 9). Grasindo.</w:t>
      </w:r>
    </w:p>
    <w:p w14:paraId="25E24CF5" w14:textId="77777777" w:rsidR="00E56CA3" w:rsidRPr="00E56CA3" w:rsidRDefault="00E56CA3" w:rsidP="00E56CA3">
      <w:pPr>
        <w:autoSpaceDE w:val="0"/>
        <w:autoSpaceDN w:val="0"/>
        <w:adjustRightInd w:val="0"/>
        <w:spacing w:before="120"/>
        <w:ind w:left="480" w:hanging="480"/>
        <w:rPr>
          <w:noProof/>
          <w:sz w:val="22"/>
          <w:szCs w:val="24"/>
        </w:rPr>
      </w:pPr>
      <w:r w:rsidRPr="00E56CA3">
        <w:rPr>
          <w:noProof/>
          <w:sz w:val="22"/>
          <w:szCs w:val="24"/>
        </w:rPr>
        <w:t xml:space="preserve">Wakila, Y. F. (2021). Konsep dan fungsi manajemen pendidikan. </w:t>
      </w:r>
      <w:r w:rsidRPr="00E56CA3">
        <w:rPr>
          <w:i/>
          <w:iCs/>
          <w:noProof/>
          <w:sz w:val="22"/>
          <w:szCs w:val="24"/>
        </w:rPr>
        <w:t>Equivalent: Jurnal Ilmiah Sosial Teknik</w:t>
      </w:r>
      <w:r w:rsidRPr="00E56CA3">
        <w:rPr>
          <w:noProof/>
          <w:sz w:val="22"/>
          <w:szCs w:val="24"/>
        </w:rPr>
        <w:t xml:space="preserve">, </w:t>
      </w:r>
      <w:r w:rsidRPr="00E56CA3">
        <w:rPr>
          <w:i/>
          <w:iCs/>
          <w:noProof/>
          <w:sz w:val="22"/>
          <w:szCs w:val="24"/>
        </w:rPr>
        <w:t>3</w:t>
      </w:r>
      <w:r w:rsidRPr="00E56CA3">
        <w:rPr>
          <w:noProof/>
          <w:sz w:val="22"/>
          <w:szCs w:val="24"/>
        </w:rPr>
        <w:t>(1), 43–56.</w:t>
      </w:r>
    </w:p>
    <w:p w14:paraId="75AF06DA" w14:textId="77777777" w:rsidR="00E56CA3" w:rsidRPr="00E56CA3" w:rsidRDefault="00E56CA3" w:rsidP="00E56CA3">
      <w:pPr>
        <w:autoSpaceDE w:val="0"/>
        <w:autoSpaceDN w:val="0"/>
        <w:adjustRightInd w:val="0"/>
        <w:spacing w:before="120"/>
        <w:ind w:left="480" w:hanging="480"/>
        <w:rPr>
          <w:noProof/>
          <w:sz w:val="22"/>
        </w:rPr>
      </w:pPr>
      <w:r w:rsidRPr="00E56CA3">
        <w:rPr>
          <w:noProof/>
          <w:sz w:val="22"/>
          <w:szCs w:val="24"/>
        </w:rPr>
        <w:t xml:space="preserve">Zulfikar, A. Y. (2022). </w:t>
      </w:r>
      <w:r w:rsidRPr="00E56CA3">
        <w:rPr>
          <w:i/>
          <w:iCs/>
          <w:noProof/>
          <w:sz w:val="22"/>
          <w:szCs w:val="24"/>
        </w:rPr>
        <w:t>Transformasi sosial dan perubahan dayah di Aceh</w:t>
      </w:r>
      <w:r w:rsidRPr="00E56CA3">
        <w:rPr>
          <w:noProof/>
          <w:sz w:val="22"/>
          <w:szCs w:val="24"/>
        </w:rPr>
        <w:t>. Yayasan Penerbit Muhammad Zaini.</w:t>
      </w:r>
    </w:p>
    <w:p w14:paraId="62AF4F58" w14:textId="5B15C6F8" w:rsidR="008F737D" w:rsidRPr="008F737D" w:rsidRDefault="00472EB4" w:rsidP="008F737D">
      <w:pPr>
        <w:pStyle w:val="NormalWeb"/>
        <w:spacing w:before="120" w:beforeAutospacing="0" w:after="0" w:afterAutospacing="0"/>
        <w:ind w:left="720" w:hanging="720"/>
        <w:jc w:val="both"/>
        <w:rPr>
          <w:rFonts w:asciiTheme="majorBidi" w:hAnsiTheme="majorBidi" w:cstheme="majorBidi"/>
          <w:sz w:val="22"/>
          <w:szCs w:val="22"/>
        </w:rPr>
      </w:pPr>
      <w:r>
        <w:rPr>
          <w:rFonts w:asciiTheme="majorBidi" w:hAnsiTheme="majorBidi" w:cstheme="majorBidi"/>
          <w:sz w:val="22"/>
          <w:szCs w:val="22"/>
        </w:rPr>
        <w:fldChar w:fldCharType="end"/>
      </w:r>
    </w:p>
    <w:p w14:paraId="2BE40A9F" w14:textId="77777777" w:rsidR="00A41870" w:rsidRDefault="00A41870">
      <w:pPr>
        <w:pBdr>
          <w:top w:val="nil"/>
          <w:left w:val="nil"/>
          <w:bottom w:val="nil"/>
          <w:right w:val="nil"/>
          <w:between w:val="nil"/>
        </w:pBdr>
        <w:spacing w:line="360" w:lineRule="auto"/>
        <w:ind w:left="567" w:hanging="567"/>
        <w:rPr>
          <w:rFonts w:eastAsia="Times New Roman"/>
          <w:color w:val="000000"/>
          <w:sz w:val="22"/>
          <w:szCs w:val="22"/>
        </w:rPr>
      </w:pPr>
    </w:p>
    <w:sectPr w:rsidR="00A41870">
      <w:type w:val="continuous"/>
      <w:pgSz w:w="11906" w:h="16838"/>
      <w:pgMar w:top="1701" w:right="1418" w:bottom="1418" w:left="1418" w:header="851" w:footer="709" w:gutter="0"/>
      <w:cols w:space="720" w:equalWidth="0">
        <w:col w:w="906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AFF83" w14:textId="77777777" w:rsidR="008F3EC4" w:rsidRDefault="008F3EC4">
      <w:r>
        <w:separator/>
      </w:r>
    </w:p>
  </w:endnote>
  <w:endnote w:type="continuationSeparator" w:id="0">
    <w:p w14:paraId="44629211" w14:textId="77777777" w:rsidR="008F3EC4" w:rsidRDefault="008F3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51E21" w14:textId="7D0ABE99" w:rsidR="00A41870" w:rsidRDefault="00B16F2E">
    <w:pPr>
      <w:pBdr>
        <w:top w:val="nil"/>
        <w:left w:val="nil"/>
        <w:bottom w:val="nil"/>
        <w:right w:val="nil"/>
        <w:between w:val="nil"/>
      </w:pBdr>
      <w:tabs>
        <w:tab w:val="center" w:pos="4513"/>
        <w:tab w:val="right" w:pos="9026"/>
      </w:tabs>
      <w:ind w:firstLine="0"/>
      <w:rPr>
        <w:rFonts w:ascii="Cambria" w:eastAsia="Cambria" w:hAnsi="Cambria" w:cs="Cambria"/>
        <w:color w:val="1F497D"/>
        <w:sz w:val="24"/>
        <w:szCs w:val="24"/>
      </w:rPr>
    </w:pPr>
    <w:r>
      <w:rPr>
        <w:rFonts w:ascii="Cambria" w:eastAsia="Cambria" w:hAnsi="Cambria" w:cs="Cambria"/>
        <w:color w:val="000000"/>
        <w:sz w:val="24"/>
        <w:szCs w:val="24"/>
      </w:rPr>
      <w:fldChar w:fldCharType="begin"/>
    </w:r>
    <w:r>
      <w:rPr>
        <w:rFonts w:ascii="Cambria" w:eastAsia="Cambria" w:hAnsi="Cambria" w:cs="Cambria"/>
        <w:color w:val="000000"/>
        <w:sz w:val="24"/>
        <w:szCs w:val="24"/>
      </w:rPr>
      <w:instrText>PAGE</w:instrText>
    </w:r>
    <w:r>
      <w:rPr>
        <w:rFonts w:ascii="Cambria" w:eastAsia="Cambria" w:hAnsi="Cambria" w:cs="Cambria"/>
        <w:color w:val="000000"/>
        <w:sz w:val="24"/>
        <w:szCs w:val="24"/>
      </w:rPr>
      <w:fldChar w:fldCharType="separate"/>
    </w:r>
    <w:r w:rsidR="00C327CE">
      <w:rPr>
        <w:rFonts w:ascii="Cambria" w:eastAsia="Cambria" w:hAnsi="Cambria" w:cs="Cambria"/>
        <w:noProof/>
        <w:color w:val="000000"/>
        <w:sz w:val="24"/>
        <w:szCs w:val="24"/>
      </w:rPr>
      <w:t>2</w:t>
    </w:r>
    <w:r>
      <w:rPr>
        <w:rFonts w:ascii="Cambria" w:eastAsia="Cambria" w:hAnsi="Cambria" w:cs="Cambria"/>
        <w:color w:val="000000"/>
        <w:sz w:val="24"/>
        <w:szCs w:val="24"/>
      </w:rPr>
      <w:fldChar w:fldCharType="end"/>
    </w:r>
    <w:r>
      <w:rPr>
        <w:rFonts w:ascii="Cambria" w:eastAsia="Cambria" w:hAnsi="Cambria" w:cs="Cambria"/>
        <w:color w:val="1F497D"/>
        <w:sz w:val="22"/>
        <w:szCs w:val="22"/>
      </w:rPr>
      <w:t xml:space="preserve">                                                                                                                                               </w:t>
    </w:r>
    <w:r>
      <w:rPr>
        <w:rFonts w:eastAsia="Times New Roman"/>
        <w:color w:val="000000"/>
        <w:sz w:val="18"/>
        <w:szCs w:val="18"/>
      </w:rPr>
      <w:t xml:space="preserve">ISSN 2548-8848 (Online)                                                                                                       </w:t>
    </w:r>
    <w:r>
      <w:rPr>
        <w:rFonts w:ascii="Cambria" w:eastAsia="Cambria" w:hAnsi="Cambria" w:cs="Cambria"/>
        <w:color w:val="1F497D"/>
        <w:sz w:val="22"/>
        <w:szCs w:val="22"/>
      </w:rPr>
      <w:t xml:space="preserve">           </w:t>
    </w:r>
    <w:r>
      <w:rPr>
        <w:noProof/>
      </w:rPr>
      <mc:AlternateContent>
        <mc:Choice Requires="wpg">
          <w:drawing>
            <wp:anchor distT="0" distB="0" distL="114300" distR="114300" simplePos="0" relativeHeight="251661312" behindDoc="0" locked="0" layoutInCell="1" hidden="0" allowOverlap="1" wp14:anchorId="6BC31FDF" wp14:editId="37AAA513">
              <wp:simplePos x="0" y="0"/>
              <wp:positionH relativeFrom="column">
                <wp:posOffset>25401</wp:posOffset>
              </wp:positionH>
              <wp:positionV relativeFrom="paragraph">
                <wp:posOffset>-139699</wp:posOffset>
              </wp:positionV>
              <wp:extent cx="590107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2395465" y="3780000"/>
                        <a:ext cx="590107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-139699</wp:posOffset>
              </wp:positionV>
              <wp:extent cx="5901070" cy="12700"/>
              <wp:effectExtent b="0" l="0" r="0" t="0"/>
              <wp:wrapNone/>
              <wp:docPr id="310"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901070" cy="12700"/>
                      </a:xfrm>
                      <a:prstGeom prst="rect"/>
                      <a:ln/>
                    </pic:spPr>
                  </pic:pic>
                </a:graphicData>
              </a:graphic>
            </wp:anchor>
          </w:drawing>
        </mc:Fallback>
      </mc:AlternateContent>
    </w:r>
  </w:p>
  <w:p w14:paraId="5ED1AD1B" w14:textId="77777777" w:rsidR="00A41870" w:rsidRDefault="00B16F2E">
    <w:pPr>
      <w:pBdr>
        <w:top w:val="nil"/>
        <w:left w:val="nil"/>
        <w:bottom w:val="nil"/>
        <w:right w:val="nil"/>
        <w:between w:val="nil"/>
      </w:pBdr>
      <w:tabs>
        <w:tab w:val="center" w:pos="4513"/>
        <w:tab w:val="right" w:pos="9026"/>
      </w:tabs>
      <w:rPr>
        <w:rFonts w:eastAsia="Times New Roman"/>
        <w:color w:val="1F497D"/>
      </w:rPr>
    </w:pPr>
    <w:r>
      <w:rPr>
        <w:rFonts w:eastAsia="Times New Roman"/>
        <w:color w:val="1F497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AA137" w14:textId="2E904B38" w:rsidR="00A41870" w:rsidRPr="00C327CE" w:rsidRDefault="007E7626">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lang w:val="sv-SE"/>
      </w:rPr>
    </w:pPr>
    <w:r>
      <w:rPr>
        <w:rFonts w:ascii="Cambria" w:eastAsia="Cambria" w:hAnsi="Cambria" w:cs="Cambria"/>
        <w:color w:val="000000"/>
        <w:lang w:val="sv-SE"/>
      </w:rPr>
      <w:t xml:space="preserve">Dampak Akreditasi Oleh Badan Akreditasi Dayah </w:t>
    </w:r>
    <w:r w:rsidR="00B16F2E" w:rsidRPr="00C327CE">
      <w:rPr>
        <w:rFonts w:ascii="Cambria" w:eastAsia="Cambria" w:hAnsi="Cambria" w:cs="Cambria"/>
        <w:color w:val="000000"/>
        <w:lang w:val="sv-SE"/>
      </w:rPr>
      <w:t>....</w:t>
    </w:r>
    <w:r w:rsidR="00B16F2E" w:rsidRPr="00C327CE">
      <w:rPr>
        <w:rFonts w:ascii="Cambria" w:eastAsia="Cambria" w:hAnsi="Cambria" w:cs="Cambria"/>
        <w:color w:val="000000"/>
        <w:sz w:val="22"/>
        <w:szCs w:val="22"/>
        <w:lang w:val="sv-SE"/>
      </w:rPr>
      <w:tab/>
    </w:r>
    <w:r w:rsidR="00B16F2E" w:rsidRPr="00C327CE">
      <w:rPr>
        <w:rFonts w:ascii="Cambria" w:eastAsia="Cambria" w:hAnsi="Cambria" w:cs="Cambria"/>
        <w:color w:val="000000"/>
        <w:sz w:val="22"/>
        <w:szCs w:val="22"/>
        <w:lang w:val="sv-SE"/>
      </w:rPr>
      <w:tab/>
      <w:t xml:space="preserve">      </w:t>
    </w:r>
    <w:r w:rsidR="00B16F2E">
      <w:rPr>
        <w:noProof/>
      </w:rPr>
      <mc:AlternateContent>
        <mc:Choice Requires="wpg">
          <w:drawing>
            <wp:anchor distT="0" distB="0" distL="114300" distR="114300" simplePos="0" relativeHeight="251660288" behindDoc="0" locked="0" layoutInCell="1" hidden="0" allowOverlap="1" wp14:anchorId="288B9582" wp14:editId="0DF35A45">
              <wp:simplePos x="0" y="0"/>
              <wp:positionH relativeFrom="column">
                <wp:posOffset>25401</wp:posOffset>
              </wp:positionH>
              <wp:positionV relativeFrom="paragraph">
                <wp:posOffset>0</wp:posOffset>
              </wp:positionV>
              <wp:extent cx="5686425"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25401</wp:posOffset>
              </wp:positionH>
              <wp:positionV relativeFrom="paragraph">
                <wp:posOffset>0</wp:posOffset>
              </wp:positionV>
              <wp:extent cx="5686425" cy="12700"/>
              <wp:effectExtent b="0" l="0" r="0" t="0"/>
              <wp:wrapNone/>
              <wp:docPr id="315" name="image11.png"/>
              <a:graphic>
                <a:graphicData uri="http://schemas.openxmlformats.org/drawingml/2006/picture">
                  <pic:pic>
                    <pic:nvPicPr>
                      <pic:cNvPr id="0" name="image11.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352797F8" w14:textId="169A55C2" w:rsidR="00A41870" w:rsidRPr="00C327CE" w:rsidRDefault="00B16F2E">
    <w:pPr>
      <w:ind w:firstLine="0"/>
      <w:rPr>
        <w:lang w:val="sv-SE"/>
      </w:rPr>
    </w:pPr>
    <w:r w:rsidRPr="00C327CE">
      <w:rPr>
        <w:lang w:val="sv-SE"/>
      </w:rPr>
      <w:t>(</w:t>
    </w:r>
    <w:r w:rsidR="007E7626">
      <w:rPr>
        <w:lang w:val="sv-SE"/>
      </w:rPr>
      <w:t>Adnin AS</w:t>
    </w:r>
    <w:r w:rsidRPr="00C327CE">
      <w:rPr>
        <w:lang w:val="sv-SE"/>
      </w:rPr>
      <w:t xml:space="preserve"> &amp; </w:t>
    </w:r>
    <w:r w:rsidR="007E7626">
      <w:rPr>
        <w:lang w:val="sv-SE"/>
      </w:rPr>
      <w:t>Jaisar Raju</w:t>
    </w:r>
    <w:r w:rsidRPr="00C327CE">
      <w:rPr>
        <w:lang w:val="sv-SE"/>
      </w:rPr>
      <w:t>, 202</w:t>
    </w:r>
    <w:r w:rsidR="007E7626">
      <w:rPr>
        <w:lang w:val="sv-SE"/>
      </w:rPr>
      <w:t>5</w:t>
    </w:r>
    <w:r w:rsidRPr="00C327CE">
      <w:rPr>
        <w:lang w:val="sv-SE"/>
      </w:rPr>
      <w:t>)</w:t>
    </w:r>
    <w:r w:rsidRPr="00C327CE">
      <w:rPr>
        <w:lang w:val="sv-SE"/>
      </w:rPr>
      <w:tab/>
    </w:r>
    <w:r w:rsidRPr="00C327CE">
      <w:rPr>
        <w:lang w:val="sv-SE"/>
      </w:rPr>
      <w:tab/>
    </w:r>
    <w:r w:rsidRPr="00C327CE">
      <w:rPr>
        <w:lang w:val="sv-SE"/>
      </w:rPr>
      <w:tab/>
    </w:r>
    <w:r w:rsidRPr="00C327CE">
      <w:rPr>
        <w:lang w:val="sv-SE"/>
      </w:rPr>
      <w:tab/>
    </w:r>
    <w:r w:rsidRPr="00C327CE">
      <w:rPr>
        <w:lang w:val="sv-SE"/>
      </w:rPr>
      <w:tab/>
    </w:r>
    <w:r w:rsidRPr="00C327CE">
      <w:rPr>
        <w:lang w:val="sv-SE"/>
      </w:rPr>
      <w:tab/>
    </w:r>
    <w:r w:rsidRPr="00C327CE">
      <w:rPr>
        <w:lang w:val="sv-SE"/>
      </w:rPr>
      <w:tab/>
    </w:r>
    <w:r w:rsidRPr="00C327CE">
      <w:rPr>
        <w:lang w:val="sv-SE"/>
      </w:rPr>
      <w:tab/>
      <w:t xml:space="preserve">                </w:t>
    </w:r>
    <w:r w:rsidRPr="00C327CE">
      <w:rPr>
        <w:rFonts w:ascii="Cambria" w:eastAsia="Cambria" w:hAnsi="Cambria" w:cs="Cambria"/>
        <w:sz w:val="24"/>
        <w:szCs w:val="24"/>
        <w:lang w:val="sv-SE"/>
      </w:rPr>
      <w:t xml:space="preserve"> </w:t>
    </w:r>
    <w:r>
      <w:rPr>
        <w:rFonts w:ascii="Cambria" w:eastAsia="Cambria" w:hAnsi="Cambria" w:cs="Cambria"/>
        <w:sz w:val="24"/>
        <w:szCs w:val="24"/>
      </w:rPr>
      <w:fldChar w:fldCharType="begin"/>
    </w:r>
    <w:r w:rsidRPr="00C327CE">
      <w:rPr>
        <w:rFonts w:ascii="Cambria" w:eastAsia="Cambria" w:hAnsi="Cambria" w:cs="Cambria"/>
        <w:sz w:val="24"/>
        <w:szCs w:val="24"/>
        <w:lang w:val="sv-SE"/>
      </w:rPr>
      <w:instrText>PAGE</w:instrText>
    </w:r>
    <w:r>
      <w:rPr>
        <w:rFonts w:ascii="Cambria" w:eastAsia="Cambria" w:hAnsi="Cambria" w:cs="Cambria"/>
        <w:sz w:val="24"/>
        <w:szCs w:val="24"/>
      </w:rPr>
      <w:fldChar w:fldCharType="separate"/>
    </w:r>
    <w:r w:rsidR="00C327CE" w:rsidRPr="00C327CE">
      <w:rPr>
        <w:rFonts w:ascii="Cambria" w:eastAsia="Cambria" w:hAnsi="Cambria" w:cs="Cambria"/>
        <w:noProof/>
        <w:sz w:val="24"/>
        <w:szCs w:val="24"/>
        <w:lang w:val="sv-SE"/>
      </w:rPr>
      <w:t>1</w:t>
    </w:r>
    <w:r>
      <w:rPr>
        <w:rFonts w:ascii="Cambria" w:eastAsia="Cambria" w:hAnsi="Cambria" w:cs="Cambria"/>
        <w:sz w:val="24"/>
        <w:szCs w:val="24"/>
      </w:rPr>
      <w:fldChar w:fldCharType="end"/>
    </w:r>
  </w:p>
  <w:p w14:paraId="4AFDC887" w14:textId="77777777" w:rsidR="00A41870" w:rsidRPr="00C327CE" w:rsidRDefault="00A41870">
    <w:pPr>
      <w:pBdr>
        <w:top w:val="nil"/>
        <w:left w:val="nil"/>
        <w:bottom w:val="nil"/>
        <w:right w:val="nil"/>
        <w:between w:val="nil"/>
      </w:pBdr>
      <w:tabs>
        <w:tab w:val="center" w:pos="4513"/>
        <w:tab w:val="right" w:pos="9026"/>
      </w:tabs>
      <w:ind w:firstLine="0"/>
      <w:rPr>
        <w:rFonts w:ascii="Cambria" w:eastAsia="Cambria" w:hAnsi="Cambria" w:cs="Cambria"/>
        <w:color w:val="000000"/>
        <w:sz w:val="24"/>
        <w:szCs w:val="24"/>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8238D" w14:textId="77777777" w:rsidR="008F3EC4" w:rsidRDefault="008F3EC4">
      <w:r>
        <w:separator/>
      </w:r>
    </w:p>
  </w:footnote>
  <w:footnote w:type="continuationSeparator" w:id="0">
    <w:p w14:paraId="7D0842CA" w14:textId="77777777" w:rsidR="008F3EC4" w:rsidRDefault="008F3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DEB1A" w14:textId="77777777" w:rsidR="00A41870" w:rsidRDefault="00A41870">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3080EE2F" w14:textId="77777777" w:rsidR="00A41870" w:rsidRDefault="00B16F2E">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Jurnal Dedikasi Pendidikan, Vol. 3, No. 1, Januari 20</w:t>
    </w:r>
    <w:r>
      <w:t>23</w:t>
    </w:r>
    <w:r>
      <w:rPr>
        <w:rFonts w:eastAsia="Times New Roman"/>
        <w:color w:val="000000"/>
      </w:rPr>
      <w:t xml:space="preserve"> : 1-13</w:t>
    </w:r>
  </w:p>
  <w:p w14:paraId="5D3E3B38" w14:textId="77777777" w:rsidR="00A41870" w:rsidRDefault="00B16F2E">
    <w:pPr>
      <w:pBdr>
        <w:top w:val="nil"/>
        <w:left w:val="nil"/>
        <w:bottom w:val="nil"/>
        <w:right w:val="nil"/>
        <w:between w:val="nil"/>
      </w:pBdr>
      <w:tabs>
        <w:tab w:val="center" w:pos="4513"/>
        <w:tab w:val="right" w:pos="9026"/>
      </w:tabs>
      <w:ind w:firstLine="0"/>
      <w:rPr>
        <w:rFonts w:eastAsia="Times New Roman"/>
        <w:color w:val="000000"/>
      </w:rPr>
    </w:pPr>
    <w:r>
      <w:rPr>
        <w:rFonts w:eastAsia="Times New Roman"/>
        <w:color w:val="000000"/>
      </w:rPr>
      <w:t>http://jurnal.abulyatama.ac.id/index.php/dedikasi</w:t>
    </w:r>
  </w:p>
  <w:p w14:paraId="3772AB63" w14:textId="77777777" w:rsidR="00A41870" w:rsidRDefault="00B16F2E">
    <w:pPr>
      <w:pBdr>
        <w:top w:val="nil"/>
        <w:left w:val="nil"/>
        <w:bottom w:val="nil"/>
        <w:right w:val="nil"/>
        <w:between w:val="nil"/>
      </w:pBdr>
      <w:tabs>
        <w:tab w:val="center" w:pos="4513"/>
        <w:tab w:val="right" w:pos="9026"/>
      </w:tabs>
      <w:ind w:firstLine="0"/>
      <w:rPr>
        <w:rFonts w:eastAsia="Times New Roman"/>
        <w:color w:val="000000"/>
      </w:rPr>
    </w:pPr>
    <w:r>
      <w:rPr>
        <w:noProof/>
      </w:rPr>
      <mc:AlternateContent>
        <mc:Choice Requires="wpg">
          <w:drawing>
            <wp:anchor distT="0" distB="0" distL="114300" distR="114300" simplePos="0" relativeHeight="251659264" behindDoc="0" locked="0" layoutInCell="1" hidden="0" allowOverlap="1" wp14:anchorId="3C28A1A4" wp14:editId="7DCDED7C">
              <wp:simplePos x="0" y="0"/>
              <wp:positionH relativeFrom="column">
                <wp:posOffset>-38099</wp:posOffset>
              </wp:positionH>
              <wp:positionV relativeFrom="paragraph">
                <wp:posOffset>114300</wp:posOffset>
              </wp:positionV>
              <wp:extent cx="5686425" cy="12700"/>
              <wp:effectExtent l="0" t="0" r="0" b="0"/>
              <wp:wrapNone/>
              <wp:docPr id="308" name="Straight Arrow Connector 308"/>
              <wp:cNvGraphicFramePr/>
              <a:graphic xmlns:a="http://schemas.openxmlformats.org/drawingml/2006/main">
                <a:graphicData uri="http://schemas.microsoft.com/office/word/2010/wordprocessingShape">
                  <wps:wsp>
                    <wps:cNvCnPr/>
                    <wps:spPr>
                      <a:xfrm rot="10800000" flipH="1">
                        <a:off x="2502788" y="3776825"/>
                        <a:ext cx="5686425" cy="635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-38099</wp:posOffset>
              </wp:positionH>
              <wp:positionV relativeFrom="paragraph">
                <wp:posOffset>114300</wp:posOffset>
              </wp:positionV>
              <wp:extent cx="5686425" cy="12700"/>
              <wp:effectExtent b="0" l="0" r="0" t="0"/>
              <wp:wrapNone/>
              <wp:docPr id="308"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5686425" cy="12700"/>
                      </a:xfrm>
                      <a:prstGeom prst="rect"/>
                      <a:ln/>
                    </pic:spPr>
                  </pic:pic>
                </a:graphicData>
              </a:graphic>
            </wp:anchor>
          </w:drawing>
        </mc:Fallback>
      </mc:AlternateContent>
    </w:r>
  </w:p>
  <w:p w14:paraId="4525B8DA" w14:textId="77777777" w:rsidR="00A41870" w:rsidRDefault="00A41870">
    <w:pPr>
      <w:pBdr>
        <w:top w:val="nil"/>
        <w:left w:val="nil"/>
        <w:bottom w:val="nil"/>
        <w:right w:val="nil"/>
        <w:between w:val="nil"/>
      </w:pBdr>
      <w:tabs>
        <w:tab w:val="center" w:pos="4513"/>
        <w:tab w:val="right" w:pos="9026"/>
      </w:tabs>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CD0A7" w14:textId="77777777" w:rsidR="00A41870" w:rsidRDefault="00A41870">
    <w:pPr>
      <w:pBdr>
        <w:top w:val="nil"/>
        <w:left w:val="nil"/>
        <w:bottom w:val="nil"/>
        <w:right w:val="nil"/>
        <w:between w:val="nil"/>
      </w:pBdr>
      <w:tabs>
        <w:tab w:val="center" w:pos="4513"/>
        <w:tab w:val="right" w:pos="9026"/>
      </w:tabs>
      <w:ind w:firstLine="0"/>
      <w:rPr>
        <w:rFonts w:ascii="Cambria" w:eastAsia="Cambria" w:hAnsi="Cambria" w:cs="Cambria"/>
        <w:color w:val="000000"/>
        <w:sz w:val="22"/>
        <w:szCs w:val="22"/>
      </w:rPr>
    </w:pPr>
  </w:p>
  <w:p w14:paraId="0EED6A37" w14:textId="77777777" w:rsidR="00A41870" w:rsidRPr="00C327CE" w:rsidRDefault="00B16F2E">
    <w:pPr>
      <w:numPr>
        <w:ilvl w:val="0"/>
        <w:numId w:val="2"/>
      </w:numPr>
      <w:pBdr>
        <w:top w:val="nil"/>
        <w:left w:val="nil"/>
        <w:bottom w:val="nil"/>
        <w:right w:val="nil"/>
        <w:between w:val="nil"/>
      </w:pBdr>
      <w:tabs>
        <w:tab w:val="center" w:pos="4513"/>
        <w:tab w:val="right" w:pos="9026"/>
      </w:tabs>
      <w:ind w:left="322" w:hanging="280"/>
      <w:rPr>
        <w:rFonts w:ascii="Cambria" w:eastAsia="Cambria" w:hAnsi="Cambria" w:cs="Cambria"/>
        <w:i/>
        <w:color w:val="000000"/>
        <w:sz w:val="18"/>
        <w:szCs w:val="18"/>
        <w:lang w:val="sv-SE"/>
      </w:rPr>
    </w:pPr>
    <w:r w:rsidRPr="00C327CE">
      <w:rPr>
        <w:rFonts w:ascii="Cambria" w:eastAsia="Cambria" w:hAnsi="Cambria" w:cs="Cambria"/>
        <w:i/>
        <w:color w:val="000000"/>
        <w:sz w:val="18"/>
        <w:szCs w:val="18"/>
        <w:lang w:val="sv-SE"/>
      </w:rPr>
      <w:t>Jurnal Dedikasi Pendidikan, Vo. X, No.X, Januari 20</w:t>
    </w:r>
    <w:r w:rsidRPr="00C327CE">
      <w:rPr>
        <w:rFonts w:ascii="Cambria" w:eastAsia="Cambria" w:hAnsi="Cambria" w:cs="Cambria"/>
        <w:i/>
        <w:sz w:val="18"/>
        <w:szCs w:val="18"/>
        <w:lang w:val="sv-SE"/>
      </w:rPr>
      <w:t>2X</w:t>
    </w:r>
    <w:r w:rsidRPr="00C327CE">
      <w:rPr>
        <w:rFonts w:ascii="Cambria" w:eastAsia="Cambria" w:hAnsi="Cambria" w:cs="Cambria"/>
        <w:i/>
        <w:color w:val="000000"/>
        <w:sz w:val="18"/>
        <w:szCs w:val="18"/>
        <w:lang w:val="sv-SE"/>
      </w:rPr>
      <w:t xml:space="preserve"> : X-XX </w:t>
    </w:r>
    <w:r>
      <w:rPr>
        <w:noProof/>
      </w:rPr>
      <mc:AlternateContent>
        <mc:Choice Requires="wpg">
          <w:drawing>
            <wp:anchor distT="0" distB="0" distL="114300" distR="114300" simplePos="0" relativeHeight="251658240" behindDoc="0" locked="0" layoutInCell="1" hidden="0" allowOverlap="1" wp14:anchorId="601CB73D" wp14:editId="48AE8F7A">
              <wp:simplePos x="0" y="0"/>
              <wp:positionH relativeFrom="column">
                <wp:posOffset>76201</wp:posOffset>
              </wp:positionH>
              <wp:positionV relativeFrom="paragraph">
                <wp:posOffset>228600</wp:posOffset>
              </wp:positionV>
              <wp:extent cx="5725236"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a:off x="2483382" y="3780000"/>
                        <a:ext cx="5725236" cy="0"/>
                      </a:xfrm>
                      <a:prstGeom prst="straightConnector1">
                        <a:avLst/>
                      </a:prstGeom>
                      <a:noFill/>
                      <a:ln w="12700" cap="flat" cmpd="sng">
                        <a:solidFill>
                          <a:schemeClr val="dk1"/>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cr="http://schemas.microsoft.com/office/comments/2020/reactions">
          <w:drawing>
            <wp:anchor allowOverlap="1" behindDoc="0" distB="0" distT="0" distL="114300" distR="114300" hidden="0" layoutInCell="1" locked="0" relativeHeight="0" simplePos="0">
              <wp:simplePos x="0" y="0"/>
              <wp:positionH relativeFrom="column">
                <wp:posOffset>76201</wp:posOffset>
              </wp:positionH>
              <wp:positionV relativeFrom="paragraph">
                <wp:posOffset>228600</wp:posOffset>
              </wp:positionV>
              <wp:extent cx="5725236" cy="12700"/>
              <wp:effectExtent b="0" l="0" r="0" t="0"/>
              <wp:wrapNone/>
              <wp:docPr id="312"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5725236" cy="1270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55048"/>
    <w:multiLevelType w:val="multilevel"/>
    <w:tmpl w:val="31C84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B85923"/>
    <w:multiLevelType w:val="multilevel"/>
    <w:tmpl w:val="CE1CA95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7D14174"/>
    <w:multiLevelType w:val="multilevel"/>
    <w:tmpl w:val="69C8A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F871C5"/>
    <w:multiLevelType w:val="multilevel"/>
    <w:tmpl w:val="B816A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052BFB"/>
    <w:multiLevelType w:val="hybridMultilevel"/>
    <w:tmpl w:val="1A94EB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5E30A15"/>
    <w:multiLevelType w:val="multilevel"/>
    <w:tmpl w:val="F08A92B2"/>
    <w:lvl w:ilvl="0">
      <w:start w:val="1"/>
      <w:numFmt w:val="bullet"/>
      <w:lvlText w:val="▪"/>
      <w:lvlJc w:val="left"/>
      <w:pPr>
        <w:ind w:left="1145" w:hanging="360"/>
      </w:pPr>
      <w:rPr>
        <w:rFonts w:ascii="Noto Sans Symbols" w:eastAsia="Noto Sans Symbols" w:hAnsi="Noto Sans Symbols" w:cs="Noto Sans Symbols"/>
      </w:rPr>
    </w:lvl>
    <w:lvl w:ilvl="1">
      <w:start w:val="1"/>
      <w:numFmt w:val="bullet"/>
      <w:lvlText w:val="o"/>
      <w:lvlJc w:val="left"/>
      <w:pPr>
        <w:ind w:left="1865" w:hanging="360"/>
      </w:pPr>
      <w:rPr>
        <w:rFonts w:ascii="Courier New" w:eastAsia="Courier New" w:hAnsi="Courier New" w:cs="Courier New"/>
      </w:rPr>
    </w:lvl>
    <w:lvl w:ilvl="2">
      <w:start w:val="1"/>
      <w:numFmt w:val="bullet"/>
      <w:lvlText w:val="▪"/>
      <w:lvlJc w:val="left"/>
      <w:pPr>
        <w:ind w:left="2585" w:hanging="360"/>
      </w:pPr>
      <w:rPr>
        <w:rFonts w:ascii="Noto Sans Symbols" w:eastAsia="Noto Sans Symbols" w:hAnsi="Noto Sans Symbols" w:cs="Noto Sans Symbols"/>
      </w:rPr>
    </w:lvl>
    <w:lvl w:ilvl="3">
      <w:start w:val="1"/>
      <w:numFmt w:val="bullet"/>
      <w:lvlText w:val="●"/>
      <w:lvlJc w:val="left"/>
      <w:pPr>
        <w:ind w:left="3305" w:hanging="360"/>
      </w:pPr>
      <w:rPr>
        <w:rFonts w:ascii="Noto Sans Symbols" w:eastAsia="Noto Sans Symbols" w:hAnsi="Noto Sans Symbols" w:cs="Noto Sans Symbols"/>
      </w:rPr>
    </w:lvl>
    <w:lvl w:ilvl="4">
      <w:start w:val="1"/>
      <w:numFmt w:val="bullet"/>
      <w:lvlText w:val="o"/>
      <w:lvlJc w:val="left"/>
      <w:pPr>
        <w:ind w:left="4025" w:hanging="360"/>
      </w:pPr>
      <w:rPr>
        <w:rFonts w:ascii="Courier New" w:eastAsia="Courier New" w:hAnsi="Courier New" w:cs="Courier New"/>
      </w:rPr>
    </w:lvl>
    <w:lvl w:ilvl="5">
      <w:start w:val="1"/>
      <w:numFmt w:val="bullet"/>
      <w:lvlText w:val="▪"/>
      <w:lvlJc w:val="left"/>
      <w:pPr>
        <w:ind w:left="4745" w:hanging="360"/>
      </w:pPr>
      <w:rPr>
        <w:rFonts w:ascii="Noto Sans Symbols" w:eastAsia="Noto Sans Symbols" w:hAnsi="Noto Sans Symbols" w:cs="Noto Sans Symbols"/>
      </w:rPr>
    </w:lvl>
    <w:lvl w:ilvl="6">
      <w:start w:val="1"/>
      <w:numFmt w:val="bullet"/>
      <w:lvlText w:val="●"/>
      <w:lvlJc w:val="left"/>
      <w:pPr>
        <w:ind w:left="5465" w:hanging="360"/>
      </w:pPr>
      <w:rPr>
        <w:rFonts w:ascii="Noto Sans Symbols" w:eastAsia="Noto Sans Symbols" w:hAnsi="Noto Sans Symbols" w:cs="Noto Sans Symbols"/>
      </w:rPr>
    </w:lvl>
    <w:lvl w:ilvl="7">
      <w:start w:val="1"/>
      <w:numFmt w:val="bullet"/>
      <w:lvlText w:val="o"/>
      <w:lvlJc w:val="left"/>
      <w:pPr>
        <w:ind w:left="6185" w:hanging="360"/>
      </w:pPr>
      <w:rPr>
        <w:rFonts w:ascii="Courier New" w:eastAsia="Courier New" w:hAnsi="Courier New" w:cs="Courier New"/>
      </w:rPr>
    </w:lvl>
    <w:lvl w:ilvl="8">
      <w:start w:val="1"/>
      <w:numFmt w:val="bullet"/>
      <w:lvlText w:val="▪"/>
      <w:lvlJc w:val="left"/>
      <w:pPr>
        <w:ind w:left="6905" w:hanging="360"/>
      </w:pPr>
      <w:rPr>
        <w:rFonts w:ascii="Noto Sans Symbols" w:eastAsia="Noto Sans Symbols" w:hAnsi="Noto Sans Symbols" w:cs="Noto Sans Symbols"/>
      </w:rPr>
    </w:lvl>
  </w:abstractNum>
  <w:num w:numId="1">
    <w:abstractNumId w:val="5"/>
  </w:num>
  <w:num w:numId="2">
    <w:abstractNumId w:val="1"/>
  </w:num>
  <w:num w:numId="3">
    <w:abstractNumId w:val="0"/>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870"/>
    <w:rsid w:val="00086E2D"/>
    <w:rsid w:val="000A72B6"/>
    <w:rsid w:val="000E0D5A"/>
    <w:rsid w:val="001F2BAD"/>
    <w:rsid w:val="001F3D4B"/>
    <w:rsid w:val="0027178C"/>
    <w:rsid w:val="00310DA5"/>
    <w:rsid w:val="003455F7"/>
    <w:rsid w:val="00352DE4"/>
    <w:rsid w:val="00393D21"/>
    <w:rsid w:val="003A201B"/>
    <w:rsid w:val="003C7A86"/>
    <w:rsid w:val="00412CBD"/>
    <w:rsid w:val="00472EB4"/>
    <w:rsid w:val="004827B2"/>
    <w:rsid w:val="00497C07"/>
    <w:rsid w:val="004A68AD"/>
    <w:rsid w:val="00532A03"/>
    <w:rsid w:val="00554BBF"/>
    <w:rsid w:val="005662E7"/>
    <w:rsid w:val="00625CA8"/>
    <w:rsid w:val="00695930"/>
    <w:rsid w:val="006C1AE8"/>
    <w:rsid w:val="006D2852"/>
    <w:rsid w:val="007A6D54"/>
    <w:rsid w:val="007E7626"/>
    <w:rsid w:val="008319F6"/>
    <w:rsid w:val="00845635"/>
    <w:rsid w:val="008574BE"/>
    <w:rsid w:val="00880923"/>
    <w:rsid w:val="008D7C44"/>
    <w:rsid w:val="008E252B"/>
    <w:rsid w:val="008F3EC4"/>
    <w:rsid w:val="008F737D"/>
    <w:rsid w:val="00A15749"/>
    <w:rsid w:val="00A17457"/>
    <w:rsid w:val="00A41870"/>
    <w:rsid w:val="00A74B65"/>
    <w:rsid w:val="00A9296B"/>
    <w:rsid w:val="00AC58DF"/>
    <w:rsid w:val="00B16F2E"/>
    <w:rsid w:val="00BD51D4"/>
    <w:rsid w:val="00C256F4"/>
    <w:rsid w:val="00C27390"/>
    <w:rsid w:val="00C327CE"/>
    <w:rsid w:val="00DF1309"/>
    <w:rsid w:val="00E067C2"/>
    <w:rsid w:val="00E56CA3"/>
    <w:rsid w:val="00F977A4"/>
    <w:rsid w:val="00FC5DC3"/>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E561E"/>
  <w15:docId w15:val="{E41ABAD3-1D83-4DCF-828F-C02428FA9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d-ID" w:eastAsia="id-ID" w:bidi="ar-SA"/>
      </w:rPr>
    </w:rPrDefault>
    <w:pPrDefault>
      <w:pPr>
        <w:widowControl w:val="0"/>
        <w:ind w:firstLine="22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rPr>
      <w:rFonts w:eastAsia="MS Mincho"/>
      <w:kern w:val="2"/>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basedOn w:val="DefaultParagraphFont"/>
    <w:link w:val="ListParagraph"/>
    <w:uiPriority w:val="1"/>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rsid w:val="00261322"/>
    <w:rPr>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28" w:type="dxa"/>
        <w:right w:w="28" w:type="dxa"/>
      </w:tblCellMar>
    </w:tblPr>
  </w:style>
  <w:style w:type="table" w:styleId="PlainTable2">
    <w:name w:val="Plain Table 2"/>
    <w:basedOn w:val="TableNormal"/>
    <w:uiPriority w:val="42"/>
    <w:rsid w:val="00A15749"/>
    <w:pPr>
      <w:widowControl/>
      <w:ind w:firstLine="0"/>
      <w:jc w:val="left"/>
    </w:pPr>
    <w:rPr>
      <w:rFonts w:eastAsiaTheme="minorHAnsi" w:cstheme="minorBidi"/>
      <w:sz w:val="24"/>
      <w:szCs w:val="22"/>
      <w:lang w:val="en-ID"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DBE8FCF-DFA8-42ED-9D73-EDD339DEE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Pages>
  <Words>7679</Words>
  <Characters>43775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46</cp:revision>
  <dcterms:created xsi:type="dcterms:W3CDTF">2018-01-31T03:51:00Z</dcterms:created>
  <dcterms:modified xsi:type="dcterms:W3CDTF">2025-11-02T15:41:00Z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12th edition - Harvard</vt:lpwstr>
  </property>
  <property fmtid="{D5CDD505-2E9C-101B-9397-08002B2CF9AE}" pid="8" name="Mendeley Recent Style Id 3_1">
    <vt:lpwstr>http://www.zotero.org/styles/ieee</vt:lpwstr>
  </property>
  <property fmtid="{D5CDD505-2E9C-101B-9397-08002B2CF9AE}" pid="9" name="Mendeley Recent Style Name 3_1">
    <vt:lpwstr>IEEE</vt:lpwstr>
  </property>
  <property fmtid="{D5CDD505-2E9C-101B-9397-08002B2CF9AE}" pid="10" name="Mendeley Recent Style Id 4_1">
    <vt:lpwstr>http://www.zotero.org/styles/modern-humanities-research-association</vt:lpwstr>
  </property>
  <property fmtid="{D5CDD505-2E9C-101B-9397-08002B2CF9AE}" pid="11" name="Mendeley Recent Style Name 4_1">
    <vt:lpwstr>Modern Humanities Research Association 3rd edition (note with bibliography)</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9th edition</vt:lpwstr>
  </property>
  <property fmtid="{D5CDD505-2E9C-101B-9397-08002B2CF9AE}" pid="14" name="Mendeley Recent Style Id 6_1">
    <vt:lpwstr>http://www.zotero.org/styles/nature</vt:lpwstr>
  </property>
  <property fmtid="{D5CDD505-2E9C-101B-9397-08002B2CF9AE}" pid="15" name="Mendeley Recent Style Name 6_1">
    <vt:lpwstr>Nature</vt:lpwstr>
  </property>
  <property fmtid="{D5CDD505-2E9C-101B-9397-08002B2CF9AE}" pid="16" name="Mendeley Recent Style Id 7_1">
    <vt:lpwstr>http://www.zotero.org/styles/turabian-fullnote-bibliography-8th-edition</vt:lpwstr>
  </property>
  <property fmtid="{D5CDD505-2E9C-101B-9397-08002B2CF9AE}" pid="17" name="Mendeley Recent Style Name 7_1">
    <vt:lpwstr>Turabian 8th edition (full note)</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9th edition (full note)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871fc8b7-9667-3914-805e-bca8c9656157</vt:lpwstr>
  </property>
  <property fmtid="{D5CDD505-2E9C-101B-9397-08002B2CF9AE}" pid="24" name="Mendeley Citation Style_1">
    <vt:lpwstr>http://www.zotero.org/styles/apa</vt:lpwstr>
  </property>
</Properties>
</file>