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5CA36" w14:textId="669EEB32" w:rsidR="00EF18DF" w:rsidRPr="00252168" w:rsidRDefault="00787FC2" w:rsidP="00252168">
      <w:pPr>
        <w:spacing w:before="100" w:beforeAutospacing="1" w:after="100" w:afterAutospacing="1"/>
        <w:jc w:val="center"/>
        <w:outlineLvl w:val="0"/>
        <w:rPr>
          <w:rFonts w:ascii="Times New Roman" w:eastAsia="Times New Roman" w:hAnsi="Times New Roman" w:cs="Times New Roman"/>
          <w:b/>
          <w:bCs/>
          <w:kern w:val="36"/>
          <w:sz w:val="28"/>
          <w:szCs w:val="28"/>
        </w:rPr>
      </w:pPr>
      <w:r w:rsidRPr="00787FC2">
        <w:rPr>
          <w:rFonts w:ascii="Times New Roman" w:eastAsia="Times New Roman" w:hAnsi="Times New Roman" w:cs="Times New Roman"/>
          <w:b/>
          <w:bCs/>
          <w:kern w:val="36"/>
          <w:sz w:val="28"/>
          <w:szCs w:val="28"/>
        </w:rPr>
        <w:t>IMPROVING SENIOR HIGH SCHOOL STUDENTS’ VOCABULARY MASTERY THROUGH A PICTURE MATCHING GAME: A CLASSROOM ACTION RESEARCH</w:t>
      </w:r>
      <w:bookmarkStart w:id="0" w:name="_GoBack"/>
      <w:bookmarkEnd w:id="0"/>
      <w:r w:rsidR="00EF18DF" w:rsidRPr="00EF18DF">
        <w:rPr>
          <w:rFonts w:ascii="Times New Roman" w:eastAsia="Times New Roman" w:hAnsi="Times New Roman" w:cs="Times New Roman"/>
        </w:rPr>
        <w:br/>
      </w:r>
    </w:p>
    <w:p w14:paraId="2B576475" w14:textId="36CF0E69" w:rsidR="00EF18DF" w:rsidRPr="00787FC2" w:rsidRDefault="00EF18DF" w:rsidP="00787FC2">
      <w:pPr>
        <w:spacing w:before="100" w:beforeAutospacing="1" w:after="100" w:afterAutospacing="1"/>
        <w:jc w:val="both"/>
        <w:outlineLvl w:val="1"/>
        <w:rPr>
          <w:rFonts w:ascii="Times New Roman" w:eastAsia="Times New Roman" w:hAnsi="Times New Roman" w:cs="Times New Roman"/>
          <w:b/>
          <w:bCs/>
          <w:i/>
        </w:rPr>
      </w:pPr>
      <w:r w:rsidRPr="00787FC2">
        <w:rPr>
          <w:rFonts w:ascii="Times New Roman" w:eastAsia="Times New Roman" w:hAnsi="Times New Roman" w:cs="Times New Roman"/>
          <w:b/>
          <w:bCs/>
          <w:i/>
        </w:rPr>
        <w:t>Abstract</w:t>
      </w:r>
      <w:r w:rsidR="00787FC2">
        <w:rPr>
          <w:rFonts w:ascii="Times New Roman" w:eastAsia="Times New Roman" w:hAnsi="Times New Roman" w:cs="Times New Roman"/>
          <w:b/>
          <w:bCs/>
          <w:i/>
        </w:rPr>
        <w:t xml:space="preserve">: </w:t>
      </w:r>
      <w:r w:rsidRPr="00787FC2">
        <w:rPr>
          <w:rFonts w:ascii="Times New Roman" w:eastAsia="Times New Roman" w:hAnsi="Times New Roman" w:cs="Times New Roman"/>
          <w:i/>
        </w:rPr>
        <w:t xml:space="preserve">Vocabulary mastery is a fundamental pillar in English language learning, yet Indonesian students consistently struggle to develop adequate lexical knowledge due to traditional practice-based teaching and low classroom engagement. This classroom action research investigated the effectiveness of a Picture Matching Game (PMG) in improving students’ vocabulary mastery and learning motivation among Grade XI students of SMA Sint Carolus </w:t>
      </w:r>
      <w:proofErr w:type="spellStart"/>
      <w:r w:rsidRPr="00787FC2">
        <w:rPr>
          <w:rFonts w:ascii="Times New Roman" w:eastAsia="Times New Roman" w:hAnsi="Times New Roman" w:cs="Times New Roman"/>
          <w:i/>
        </w:rPr>
        <w:t>Penfui</w:t>
      </w:r>
      <w:proofErr w:type="spellEnd"/>
      <w:r w:rsidRPr="00787FC2">
        <w:rPr>
          <w:rFonts w:ascii="Times New Roman" w:eastAsia="Times New Roman" w:hAnsi="Times New Roman" w:cs="Times New Roman"/>
          <w:i/>
        </w:rPr>
        <w:t xml:space="preserve"> </w:t>
      </w:r>
      <w:proofErr w:type="spellStart"/>
      <w:r w:rsidRPr="00787FC2">
        <w:rPr>
          <w:rFonts w:ascii="Times New Roman" w:eastAsia="Times New Roman" w:hAnsi="Times New Roman" w:cs="Times New Roman"/>
          <w:i/>
        </w:rPr>
        <w:t>Kupang</w:t>
      </w:r>
      <w:proofErr w:type="spellEnd"/>
      <w:r w:rsidRPr="00787FC2">
        <w:rPr>
          <w:rFonts w:ascii="Times New Roman" w:eastAsia="Times New Roman" w:hAnsi="Times New Roman" w:cs="Times New Roman"/>
          <w:i/>
        </w:rPr>
        <w:t xml:space="preserve">. Adopting </w:t>
      </w:r>
      <w:proofErr w:type="spellStart"/>
      <w:r w:rsidRPr="00787FC2">
        <w:rPr>
          <w:rFonts w:ascii="Times New Roman" w:eastAsia="Times New Roman" w:hAnsi="Times New Roman" w:cs="Times New Roman"/>
          <w:i/>
        </w:rPr>
        <w:t>Kemmis</w:t>
      </w:r>
      <w:proofErr w:type="spellEnd"/>
      <w:r w:rsidRPr="00787FC2">
        <w:rPr>
          <w:rFonts w:ascii="Times New Roman" w:eastAsia="Times New Roman" w:hAnsi="Times New Roman" w:cs="Times New Roman"/>
          <w:i/>
        </w:rPr>
        <w:t xml:space="preserve"> and McTaggart’s (1988) spiral model, the study was conducted in two cycles involving 18 students. Quantitative data were collected through pre-test and post-test vocabulary assessments, while qualitative data were drawn from classroom observations and field notes. Results demonstrated significant improvement: mean vocabulary scores increased from 55.00 pre-action to 81.11 in Cycle II, with mastery rates improving from 16.67% to 88.89%. Student engagement similarly rose from 31.67% to 85.00%. The findings confirm that PMG is a pedagogically feasible approach to increase vocabulary retention, boost learning motivation, and reduce language anxiety in Indonesian EFL classrooms. Therefore, teachers are recommended to integrate visual game-based strategies as part of regular instruction.</w:t>
      </w:r>
    </w:p>
    <w:p w14:paraId="1C7AE9AD" w14:textId="082A3ED7" w:rsidR="00EF18DF" w:rsidRDefault="00EF18DF" w:rsidP="00787FC2">
      <w:pPr>
        <w:spacing w:before="100" w:beforeAutospacing="1" w:after="100" w:afterAutospacing="1"/>
        <w:contextualSpacing/>
        <w:jc w:val="both"/>
        <w:rPr>
          <w:rFonts w:ascii="Times New Roman" w:eastAsia="Times New Roman" w:hAnsi="Times New Roman" w:cs="Times New Roman"/>
          <w:b/>
          <w:i/>
        </w:rPr>
      </w:pPr>
      <w:r w:rsidRPr="00787FC2">
        <w:rPr>
          <w:rFonts w:ascii="Times New Roman" w:eastAsia="Times New Roman" w:hAnsi="Times New Roman" w:cs="Times New Roman"/>
          <w:b/>
          <w:bCs/>
          <w:i/>
        </w:rPr>
        <w:t>Keywords:</w:t>
      </w:r>
      <w:r w:rsidRPr="00787FC2">
        <w:rPr>
          <w:rFonts w:ascii="Times New Roman" w:eastAsia="Times New Roman" w:hAnsi="Times New Roman" w:cs="Times New Roman"/>
          <w:b/>
          <w:i/>
        </w:rPr>
        <w:t xml:space="preserve"> vocabulary, game-based learning, picture matching game, engagement, classroom action research</w:t>
      </w:r>
    </w:p>
    <w:p w14:paraId="57B97E9E" w14:textId="77777777" w:rsidR="00787FC2" w:rsidRPr="00787FC2" w:rsidRDefault="00787FC2" w:rsidP="00787FC2">
      <w:pPr>
        <w:spacing w:before="100" w:beforeAutospacing="1" w:after="100" w:afterAutospacing="1"/>
        <w:contextualSpacing/>
        <w:jc w:val="both"/>
        <w:rPr>
          <w:rFonts w:ascii="Times New Roman" w:eastAsia="Times New Roman" w:hAnsi="Times New Roman" w:cs="Times New Roman"/>
          <w:b/>
          <w:i/>
        </w:rPr>
      </w:pPr>
    </w:p>
    <w:p w14:paraId="04E4292D" w14:textId="77777777" w:rsidR="00787FC2" w:rsidRPr="007C6B78" w:rsidRDefault="00EF18DF" w:rsidP="007C6B78">
      <w:pPr>
        <w:spacing w:before="100" w:beforeAutospacing="1" w:after="100" w:afterAutospacing="1" w:line="360" w:lineRule="auto"/>
        <w:contextualSpacing/>
        <w:jc w:val="both"/>
        <w:outlineLvl w:val="0"/>
        <w:rPr>
          <w:rFonts w:ascii="Times New Roman" w:eastAsia="Times New Roman" w:hAnsi="Times New Roman" w:cs="Times New Roman"/>
          <w:b/>
          <w:bCs/>
          <w:kern w:val="36"/>
        </w:rPr>
      </w:pPr>
      <w:r w:rsidRPr="007C6B78">
        <w:rPr>
          <w:rFonts w:ascii="Times New Roman" w:eastAsia="Times New Roman" w:hAnsi="Times New Roman" w:cs="Times New Roman"/>
          <w:b/>
          <w:bCs/>
          <w:kern w:val="36"/>
        </w:rPr>
        <w:t>INTRODUCTION</w:t>
      </w:r>
    </w:p>
    <w:p w14:paraId="44325635" w14:textId="77777777"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English has become a dominant communication tool across academic, scientific, economic, political, and professional spheres. Its global spread has shifted its function from merely a native language to an international contact language. In many contemporary interactions, English is used between individuals who do not share the same mother tongue, forming a neutral linguistic bridge. This concept, known as </w:t>
      </w:r>
      <w:r w:rsidRPr="007C6B78">
        <w:rPr>
          <w:rFonts w:ascii="Times New Roman" w:eastAsia="Times New Roman" w:hAnsi="Times New Roman" w:cs="Times New Roman"/>
          <w:bCs/>
        </w:rPr>
        <w:t>English as a Lingua Franca (ELF)</w:t>
      </w:r>
      <w:r w:rsidRPr="007C6B78">
        <w:rPr>
          <w:rFonts w:ascii="Times New Roman" w:eastAsia="Times New Roman" w:hAnsi="Times New Roman" w:cs="Times New Roman"/>
        </w:rPr>
        <w:t>, emphasizes communicative adequacy, not native-speaker norms, and prioritizes intelligibility among multilingual users (Kirkpatrick &amp; Schaller-</w:t>
      </w:r>
      <w:proofErr w:type="spellStart"/>
      <w:r w:rsidRPr="007C6B78">
        <w:rPr>
          <w:rFonts w:ascii="Times New Roman" w:eastAsia="Times New Roman" w:hAnsi="Times New Roman" w:cs="Times New Roman"/>
        </w:rPr>
        <w:t>Schwaner</w:t>
      </w:r>
      <w:proofErr w:type="spellEnd"/>
      <w:r w:rsidRPr="007C6B78">
        <w:rPr>
          <w:rFonts w:ascii="Times New Roman" w:eastAsia="Times New Roman" w:hAnsi="Times New Roman" w:cs="Times New Roman"/>
        </w:rPr>
        <w:t>, 2022). Thus, English proficiency has become a necessity for individuals in diverse societies, particularly those in developing regions where global mobility and digital connectivity increasingly shape socioeconomic opportunities.</w:t>
      </w:r>
    </w:p>
    <w:p w14:paraId="46911889" w14:textId="5F9DCF9B"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In the Indonesian context, English is positioned as a foreign language within the national curriculum, taught from the elementary level in certain schools and compulsorily at junior and senior high school levels. The ability to use English opens educational and professional pathways, giving learners access to international knowledge, scholarship opportunities, and global </w:t>
      </w:r>
      <w:proofErr w:type="spellStart"/>
      <w:r w:rsidRPr="007C6B78">
        <w:rPr>
          <w:rFonts w:ascii="Times New Roman" w:eastAsia="Times New Roman" w:hAnsi="Times New Roman" w:cs="Times New Roman"/>
        </w:rPr>
        <w:t>labor</w:t>
      </w:r>
      <w:proofErr w:type="spellEnd"/>
      <w:r w:rsidRPr="007C6B78">
        <w:rPr>
          <w:rFonts w:ascii="Times New Roman" w:eastAsia="Times New Roman" w:hAnsi="Times New Roman" w:cs="Times New Roman"/>
        </w:rPr>
        <w:t xml:space="preserve"> markets. Mastery of English is also perceived to enhance academic competitiveness, particularly in higher education, research, and international </w:t>
      </w:r>
      <w:r w:rsidRPr="007C6B78">
        <w:rPr>
          <w:rFonts w:ascii="Times New Roman" w:eastAsia="Times New Roman" w:hAnsi="Times New Roman" w:cs="Times New Roman"/>
        </w:rPr>
        <w:lastRenderedPageBreak/>
        <w:t>partnerships. Despite this institutional recognition, the quality of English teaching and learning varies significantly across regions, affecting students’ long-term proficiency. This variation highlights that simply allocating classroom hours is insufficient; effective pedagogical models and meaningful learning experiences are essential for linguistic growth.</w:t>
      </w:r>
    </w:p>
    <w:p w14:paraId="47670946" w14:textId="77777777"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Among the core challenges in foreign language learning, </w:t>
      </w:r>
      <w:r w:rsidRPr="007C6B78">
        <w:rPr>
          <w:rFonts w:ascii="Times New Roman" w:eastAsia="Times New Roman" w:hAnsi="Times New Roman" w:cs="Times New Roman"/>
          <w:bCs/>
        </w:rPr>
        <w:t>vocabulary acquisition</w:t>
      </w:r>
      <w:r w:rsidRPr="007C6B78">
        <w:rPr>
          <w:rFonts w:ascii="Times New Roman" w:eastAsia="Times New Roman" w:hAnsi="Times New Roman" w:cs="Times New Roman"/>
        </w:rPr>
        <w:t xml:space="preserve"> remains a critical barrier for Indonesian students. Vocabulary plays a fundamental role in language performance because it provides the raw material with which learners construct meaning. Wilkins (1972) famously stated that “without grammar little can be said, but without vocabulary nothing can be said,” underscoring vocabulary as the backbone of communication. Students can possess grammatically accurate structures but be unable to express ideas due to lexical limitations. The absence of sufficient vocabulary not only impedes spoken communication but also limits reading comprehension, listening ability, and writing expression. In other words, vocabulary is the foundation upon which other linguistic skills are built.</w:t>
      </w:r>
    </w:p>
    <w:p w14:paraId="56DBA389" w14:textId="1093BA01"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To develop lexical competence, learners must understand vocabulary as a multidimensional construct. Nation (2001) explains that vocabulary knowledge comprises form (pronunciation and spelling), meaning (denotative and connotative), and use (grammatical </w:t>
      </w:r>
      <w:proofErr w:type="spellStart"/>
      <w:r w:rsidRPr="007C6B78">
        <w:rPr>
          <w:rFonts w:ascii="Times New Roman" w:eastAsia="Times New Roman" w:hAnsi="Times New Roman" w:cs="Times New Roman"/>
        </w:rPr>
        <w:t>behavior</w:t>
      </w:r>
      <w:proofErr w:type="spellEnd"/>
      <w:r w:rsidRPr="007C6B78">
        <w:rPr>
          <w:rFonts w:ascii="Times New Roman" w:eastAsia="Times New Roman" w:hAnsi="Times New Roman" w:cs="Times New Roman"/>
        </w:rPr>
        <w:t>, collocation, and pragmatic context). Thornbury (2002) further emphasizes that vocabulary mastery does not occur through one-time exposure. Rather, learners need repeated and varied encounters to convert words from passive recognition to active use. Without opportunities to interact with vocabulary meaningfully, retention tends to be shallow and short-lived.</w:t>
      </w:r>
    </w:p>
    <w:p w14:paraId="431DA832" w14:textId="77777777"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Despite the theoretical importance of context-sensitive vocabulary instruction, many Indonesian classrooms still rely on traditional pedagogical approaches. Teacher-</w:t>
      </w:r>
      <w:proofErr w:type="spellStart"/>
      <w:r w:rsidRPr="007C6B78">
        <w:rPr>
          <w:rFonts w:ascii="Times New Roman" w:eastAsia="Times New Roman" w:hAnsi="Times New Roman" w:cs="Times New Roman"/>
        </w:rPr>
        <w:t>centered</w:t>
      </w:r>
      <w:proofErr w:type="spellEnd"/>
      <w:r w:rsidRPr="007C6B78">
        <w:rPr>
          <w:rFonts w:ascii="Times New Roman" w:eastAsia="Times New Roman" w:hAnsi="Times New Roman" w:cs="Times New Roman"/>
        </w:rPr>
        <w:t xml:space="preserve"> practices, such as lecturing, rote translation, and copying definitions, dominate instructional routines. Students often listen passively while teachers provide lists of English words accompanied by their Indonesian equivalents. This approach treats vocabulary as isolated linguistic units rather than communicative tools, preventing learners from making meaningful associations. Schmitt (2000) warns that such surface-level strategies encourage memorization without cognitive engagement, which results in rapid forgetting and limited transfer to real-world language use. When vocabulary is presented devoid of authentic experiences, students struggle to integrate words into their mental lexicon.</w:t>
      </w:r>
    </w:p>
    <w:p w14:paraId="63CA4F71" w14:textId="45A65BD2"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The local context of </w:t>
      </w:r>
      <w:proofErr w:type="spellStart"/>
      <w:r w:rsidRPr="007C6B78">
        <w:rPr>
          <w:rFonts w:ascii="Times New Roman" w:eastAsia="Times New Roman" w:hAnsi="Times New Roman" w:cs="Times New Roman"/>
        </w:rPr>
        <w:t>Kupang</w:t>
      </w:r>
      <w:proofErr w:type="spellEnd"/>
      <w:r w:rsidRPr="007C6B78">
        <w:rPr>
          <w:rFonts w:ascii="Times New Roman" w:eastAsia="Times New Roman" w:hAnsi="Times New Roman" w:cs="Times New Roman"/>
        </w:rPr>
        <w:t xml:space="preserve"> illustrates how these instructional issues are compounded by sociocultural and psychological barriers. Students tend to avoid speaking English due to </w:t>
      </w:r>
      <w:r w:rsidRPr="007C6B78">
        <w:rPr>
          <w:rFonts w:ascii="Times New Roman" w:eastAsia="Times New Roman" w:hAnsi="Times New Roman" w:cs="Times New Roman"/>
        </w:rPr>
        <w:lastRenderedPageBreak/>
        <w:t>fear of public embarrassment, low self-efficacy, and a perception that English performance will be judged harshly by peers or teachers (</w:t>
      </w:r>
      <w:proofErr w:type="spellStart"/>
      <w:r w:rsidRPr="007C6B78">
        <w:rPr>
          <w:rFonts w:ascii="Times New Roman" w:eastAsia="Times New Roman" w:hAnsi="Times New Roman" w:cs="Times New Roman"/>
        </w:rPr>
        <w:t>Hornay</w:t>
      </w:r>
      <w:proofErr w:type="spellEnd"/>
      <w:r w:rsidRPr="007C6B78">
        <w:rPr>
          <w:rFonts w:ascii="Times New Roman" w:eastAsia="Times New Roman" w:hAnsi="Times New Roman" w:cs="Times New Roman"/>
        </w:rPr>
        <w:t>, et al., 2024). These affective constraints discourage linguistic experimentation and reduce opportunities for internalizing new vocabulary (</w:t>
      </w:r>
      <w:proofErr w:type="spellStart"/>
      <w:r w:rsidRPr="007C6B78">
        <w:rPr>
          <w:rFonts w:ascii="Times New Roman" w:eastAsia="Times New Roman" w:hAnsi="Times New Roman" w:cs="Times New Roman"/>
        </w:rPr>
        <w:t>Hornay</w:t>
      </w:r>
      <w:proofErr w:type="spellEnd"/>
      <w:r w:rsidRPr="007C6B78">
        <w:rPr>
          <w:rFonts w:ascii="Times New Roman" w:eastAsia="Times New Roman" w:hAnsi="Times New Roman" w:cs="Times New Roman"/>
        </w:rPr>
        <w:t xml:space="preserve"> &amp; </w:t>
      </w:r>
      <w:proofErr w:type="spellStart"/>
      <w:r w:rsidRPr="007C6B78">
        <w:rPr>
          <w:rFonts w:ascii="Times New Roman" w:eastAsia="Times New Roman" w:hAnsi="Times New Roman" w:cs="Times New Roman"/>
        </w:rPr>
        <w:t>Lomi</w:t>
      </w:r>
      <w:proofErr w:type="spellEnd"/>
      <w:r w:rsidRPr="007C6B78">
        <w:rPr>
          <w:rFonts w:ascii="Times New Roman" w:eastAsia="Times New Roman" w:hAnsi="Times New Roman" w:cs="Times New Roman"/>
        </w:rPr>
        <w:t>, 2024). Learners may know certain words mentally but remain reluctant to verbalize them, leading to fossilized classroom silence. In such environments, the emotional climate becomes as influential as instructional design, hampering vocabulary growth despite considerable time spent in English lessons.</w:t>
      </w:r>
    </w:p>
    <w:p w14:paraId="6356949D" w14:textId="067981C8"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Given the structural and psychological limitations of traditional instruction, alternative teaching approaches are needed to promote both vocabulary learning and student engagement. </w:t>
      </w:r>
      <w:r w:rsidRPr="007C6B78">
        <w:rPr>
          <w:rFonts w:ascii="Times New Roman" w:eastAsia="Times New Roman" w:hAnsi="Times New Roman" w:cs="Times New Roman"/>
          <w:bCs/>
        </w:rPr>
        <w:t>Game-Based Learning (GBL)</w:t>
      </w:r>
      <w:r w:rsidRPr="007C6B78">
        <w:rPr>
          <w:rFonts w:ascii="Times New Roman" w:eastAsia="Times New Roman" w:hAnsi="Times New Roman" w:cs="Times New Roman"/>
        </w:rPr>
        <w:t xml:space="preserve"> has emerged as a promising strategy, particularly in EFL contexts where motivation and exposure are limited. </w:t>
      </w:r>
      <w:proofErr w:type="spellStart"/>
      <w:r w:rsidRPr="007C6B78">
        <w:rPr>
          <w:rFonts w:ascii="Times New Roman" w:eastAsia="Times New Roman" w:hAnsi="Times New Roman" w:cs="Times New Roman"/>
        </w:rPr>
        <w:t>Prensky</w:t>
      </w:r>
      <w:proofErr w:type="spellEnd"/>
      <w:r w:rsidRPr="007C6B78">
        <w:rPr>
          <w:rFonts w:ascii="Times New Roman" w:eastAsia="Times New Roman" w:hAnsi="Times New Roman" w:cs="Times New Roman"/>
        </w:rPr>
        <w:t xml:space="preserve"> (2001) highlights that games stimulate intrinsic motivation because they incorporate reward mechanisms, competition, and self-directed progress, elements that mirror how students naturally engage with challenges. Instead of perceiving tasks as obligations, learners willingly invest cognitive effort because play transforms learning into an enjoyable pursuit. For educational environments marked by passivity or low confidence, GBL can provide the emotional safety that enables risk-taking and experimentation.</w:t>
      </w:r>
    </w:p>
    <w:p w14:paraId="0B9040D3" w14:textId="77777777"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Beyond motivation, games also foster deeper cognitive involvement. Gee (2003) argues that game-based environments allow learners to assume identities, make decisions, and test hypotheses, turning language into a lived experience rather than a memorized system. This aligns with the notion of </w:t>
      </w:r>
      <w:r w:rsidRPr="007C6B78">
        <w:rPr>
          <w:rFonts w:ascii="Times New Roman" w:eastAsia="Times New Roman" w:hAnsi="Times New Roman" w:cs="Times New Roman"/>
          <w:i/>
          <w:iCs/>
        </w:rPr>
        <w:t>situated learning</w:t>
      </w:r>
      <w:r w:rsidRPr="007C6B78">
        <w:rPr>
          <w:rFonts w:ascii="Times New Roman" w:eastAsia="Times New Roman" w:hAnsi="Times New Roman" w:cs="Times New Roman"/>
        </w:rPr>
        <w:t>, wherein knowledge is acquired through meaningful participation within activity systems. By navigating game scenarios, students do not simply learn vocabulary; they use it to solve problems, interpret symbols, and collaborate. Such environments disrupt the rigid patterns of teacher-led instruction and reposition learners as active participants, encouraging them to apply vocabulary in ways that mirror authentic communication.</w:t>
      </w:r>
    </w:p>
    <w:p w14:paraId="3813A6CF" w14:textId="77777777"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In response to these challenges and theoretical perspectives, this study applies a </w:t>
      </w:r>
      <w:r w:rsidRPr="007C6B78">
        <w:rPr>
          <w:rFonts w:ascii="Times New Roman" w:eastAsia="Times New Roman" w:hAnsi="Times New Roman" w:cs="Times New Roman"/>
          <w:bCs/>
        </w:rPr>
        <w:t>Picture Matching Game</w:t>
      </w:r>
      <w:r w:rsidRPr="007C6B78">
        <w:rPr>
          <w:rFonts w:ascii="Times New Roman" w:eastAsia="Times New Roman" w:hAnsi="Times New Roman" w:cs="Times New Roman"/>
        </w:rPr>
        <w:t xml:space="preserve"> as a visual and interactive strategy to support vocabulary learning. As a form of multimodal instruction, picture-based games activate both linguistic and visual cognitive channels, which strengthens retention and reduces abstraction. Students do not merely memorize lexical items; they connect them to images, contexts, and peer interaction. The Picture Matching Game therefore addresses the dual objectives of vocabulary mastery and engagement, offering a pedagogical alternative suited to the realities of EFL classrooms in </w:t>
      </w:r>
      <w:proofErr w:type="spellStart"/>
      <w:r w:rsidRPr="007C6B78">
        <w:rPr>
          <w:rFonts w:ascii="Times New Roman" w:eastAsia="Times New Roman" w:hAnsi="Times New Roman" w:cs="Times New Roman"/>
        </w:rPr>
        <w:t>Kupang</w:t>
      </w:r>
      <w:proofErr w:type="spellEnd"/>
      <w:r w:rsidRPr="007C6B78">
        <w:rPr>
          <w:rFonts w:ascii="Times New Roman" w:eastAsia="Times New Roman" w:hAnsi="Times New Roman" w:cs="Times New Roman"/>
        </w:rPr>
        <w:t>.</w:t>
      </w:r>
    </w:p>
    <w:p w14:paraId="2F36C29E" w14:textId="0CC5C6BA" w:rsidR="00EF18DF" w:rsidRPr="007C6B78" w:rsidRDefault="00EF18DF" w:rsidP="007C6B78">
      <w:pPr>
        <w:spacing w:line="360" w:lineRule="auto"/>
        <w:contextualSpacing/>
        <w:jc w:val="both"/>
        <w:rPr>
          <w:rFonts w:ascii="Times New Roman" w:eastAsia="Times New Roman" w:hAnsi="Times New Roman" w:cs="Times New Roman"/>
        </w:rPr>
      </w:pPr>
    </w:p>
    <w:p w14:paraId="62D4F58C" w14:textId="77777777" w:rsidR="00EF18DF" w:rsidRPr="007C6B78" w:rsidRDefault="00EF18DF" w:rsidP="007C6B78">
      <w:pPr>
        <w:spacing w:before="100" w:beforeAutospacing="1" w:after="100" w:afterAutospacing="1" w:line="360" w:lineRule="auto"/>
        <w:contextualSpacing/>
        <w:jc w:val="both"/>
        <w:outlineLvl w:val="0"/>
        <w:rPr>
          <w:rFonts w:ascii="Times New Roman" w:eastAsia="Times New Roman" w:hAnsi="Times New Roman" w:cs="Times New Roman"/>
          <w:b/>
          <w:bCs/>
          <w:kern w:val="36"/>
        </w:rPr>
      </w:pPr>
      <w:r w:rsidRPr="007C6B78">
        <w:rPr>
          <w:rFonts w:ascii="Times New Roman" w:eastAsia="Times New Roman" w:hAnsi="Times New Roman" w:cs="Times New Roman"/>
          <w:b/>
          <w:bCs/>
          <w:kern w:val="36"/>
        </w:rPr>
        <w:t>LITERATURE REVIEW</w:t>
      </w:r>
    </w:p>
    <w:p w14:paraId="1EDCE702" w14:textId="77777777" w:rsidR="00EF18DF" w:rsidRPr="007C6B78" w:rsidRDefault="00EF18DF" w:rsidP="007C6B78">
      <w:pPr>
        <w:spacing w:before="100" w:beforeAutospacing="1" w:after="100" w:afterAutospacing="1" w:line="360" w:lineRule="auto"/>
        <w:contextualSpacing/>
        <w:jc w:val="both"/>
        <w:outlineLvl w:val="1"/>
        <w:rPr>
          <w:rFonts w:ascii="Times New Roman" w:eastAsia="Times New Roman" w:hAnsi="Times New Roman" w:cs="Times New Roman"/>
          <w:b/>
          <w:bCs/>
        </w:rPr>
      </w:pPr>
      <w:r w:rsidRPr="007C6B78">
        <w:rPr>
          <w:rFonts w:ascii="Times New Roman" w:eastAsia="Times New Roman" w:hAnsi="Times New Roman" w:cs="Times New Roman"/>
          <w:b/>
          <w:bCs/>
        </w:rPr>
        <w:t>Vocabulary Learning in EFL Contexts</w:t>
      </w:r>
    </w:p>
    <w:p w14:paraId="1B9707D4"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Vocabulary is the foundation for receptive and productive language skills. As Nation (2001) explains, learners must acquire both receptive vocabulary (recognition and comprehension) and productive vocabulary (independent use in communication). Schmitt (2000) adds that vocabulary acquisition is gradual; learners require multiple exposures to reinforce semantic networks. Students who memorize lists may remember words temporarily, but without visual or contextual cues, retention declines rapidly. Thornbury (2002) emphasizes that vocabulary becomes functional when students connect words to real contexts and communicative purposes. Therefore, authentic tasks, meaningful word associations, and spaced practice are essential for sustainable vocabulary development.</w:t>
      </w:r>
    </w:p>
    <w:p w14:paraId="0C140A2A" w14:textId="1A1D5FEF"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Indonesian research shows that vocabulary learning is often considered “additional,” not integral, to communication tasks. Many teachers believe vocabulary is naturally acquired once grammar is mastered, but this assumption leads to fragmented learning and low proficiency. In contexts such as East Nusa Tenggara, where English exposure outside school is limited, vocabulary cannot be assumed to develop implicitly (</w:t>
      </w:r>
      <w:proofErr w:type="spellStart"/>
      <w:r w:rsidRPr="007C6B78">
        <w:rPr>
          <w:rFonts w:ascii="Times New Roman" w:eastAsia="Times New Roman" w:hAnsi="Times New Roman" w:cs="Times New Roman"/>
        </w:rPr>
        <w:t>Liunokas</w:t>
      </w:r>
      <w:proofErr w:type="spellEnd"/>
      <w:r w:rsidRPr="007C6B78">
        <w:rPr>
          <w:rFonts w:ascii="Times New Roman" w:eastAsia="Times New Roman" w:hAnsi="Times New Roman" w:cs="Times New Roman"/>
        </w:rPr>
        <w:t xml:space="preserve"> et al., 2023). Students must be given stimuli that bridge word form and meaning, delivered through engaging activities that reduce anxiety.</w:t>
      </w:r>
    </w:p>
    <w:p w14:paraId="73F602BA" w14:textId="77777777"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p>
    <w:p w14:paraId="77D69EEF" w14:textId="77777777" w:rsidR="00EF18DF" w:rsidRPr="007C6B78" w:rsidRDefault="00EF18DF" w:rsidP="007C6B78">
      <w:pPr>
        <w:spacing w:before="100" w:beforeAutospacing="1" w:after="100" w:afterAutospacing="1" w:line="360" w:lineRule="auto"/>
        <w:contextualSpacing/>
        <w:jc w:val="both"/>
        <w:outlineLvl w:val="1"/>
        <w:rPr>
          <w:rFonts w:ascii="Times New Roman" w:eastAsia="Times New Roman" w:hAnsi="Times New Roman" w:cs="Times New Roman"/>
          <w:b/>
          <w:bCs/>
        </w:rPr>
      </w:pPr>
      <w:r w:rsidRPr="007C6B78">
        <w:rPr>
          <w:rFonts w:ascii="Times New Roman" w:eastAsia="Times New Roman" w:hAnsi="Times New Roman" w:cs="Times New Roman"/>
          <w:b/>
          <w:bCs/>
        </w:rPr>
        <w:t>Game-Based Learning and Language Development</w:t>
      </w:r>
    </w:p>
    <w:p w14:paraId="7F9C2112"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Game-Based Learning (GBL) encourages interaction, problem-solving, and autonomy. </w:t>
      </w:r>
      <w:proofErr w:type="spellStart"/>
      <w:r w:rsidRPr="007C6B78">
        <w:rPr>
          <w:rFonts w:ascii="Times New Roman" w:eastAsia="Times New Roman" w:hAnsi="Times New Roman" w:cs="Times New Roman"/>
        </w:rPr>
        <w:t>Adipat</w:t>
      </w:r>
      <w:proofErr w:type="spellEnd"/>
      <w:r w:rsidRPr="007C6B78">
        <w:rPr>
          <w:rFonts w:ascii="Times New Roman" w:eastAsia="Times New Roman" w:hAnsi="Times New Roman" w:cs="Times New Roman"/>
        </w:rPr>
        <w:t xml:space="preserve"> et al. (2021) argue that GBL increases student agency because it transforms learning into an active process. Instead of positioning students as recipients, games turn them into decision-makers who manipulate information to achieve goals. Games offer challenges, goals, competition, and instant feedback—conditions known to increase intrinsic motivation and attention (</w:t>
      </w:r>
      <w:proofErr w:type="spellStart"/>
      <w:r w:rsidRPr="007C6B78">
        <w:rPr>
          <w:rFonts w:ascii="Times New Roman" w:eastAsia="Times New Roman" w:hAnsi="Times New Roman" w:cs="Times New Roman"/>
        </w:rPr>
        <w:t>Prensky</w:t>
      </w:r>
      <w:proofErr w:type="spellEnd"/>
      <w:r w:rsidRPr="007C6B78">
        <w:rPr>
          <w:rFonts w:ascii="Times New Roman" w:eastAsia="Times New Roman" w:hAnsi="Times New Roman" w:cs="Times New Roman"/>
        </w:rPr>
        <w:t>, 2001). These mechanisms are especially beneficial in language classrooms, where anxiety often blocks communication.</w:t>
      </w:r>
    </w:p>
    <w:p w14:paraId="23AD9F42" w14:textId="3FD38E89"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Gee (2003) notes that games create “semiotic domains” where learners must apply knowledge in scenario-based environments. Such environments make vocabulary meaningful: learners do not just learn words—they use them to solve problems. </w:t>
      </w:r>
      <w:proofErr w:type="spellStart"/>
      <w:r w:rsidRPr="007C6B78">
        <w:rPr>
          <w:rFonts w:ascii="Times New Roman" w:eastAsia="Times New Roman" w:hAnsi="Times New Roman" w:cs="Times New Roman"/>
        </w:rPr>
        <w:t>Ahamad</w:t>
      </w:r>
      <w:proofErr w:type="spellEnd"/>
      <w:r w:rsidRPr="007C6B78">
        <w:rPr>
          <w:rFonts w:ascii="Times New Roman" w:eastAsia="Times New Roman" w:hAnsi="Times New Roman" w:cs="Times New Roman"/>
        </w:rPr>
        <w:t xml:space="preserve"> et al. (2022) further demonstrate that cooperative games promote social responsibility, foster peer support, and alleviate fear of mistakes. The combination of cognitive engagement and social collaboration creates fertile ground for vocabulary learning in classrooms that struggle with motivation.</w:t>
      </w:r>
    </w:p>
    <w:p w14:paraId="320FE614" w14:textId="77777777"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p>
    <w:p w14:paraId="56C37A39" w14:textId="77777777" w:rsidR="00EF18DF" w:rsidRPr="007C6B78" w:rsidRDefault="00EF18DF" w:rsidP="007C6B78">
      <w:pPr>
        <w:spacing w:before="100" w:beforeAutospacing="1" w:after="100" w:afterAutospacing="1" w:line="360" w:lineRule="auto"/>
        <w:contextualSpacing/>
        <w:jc w:val="both"/>
        <w:outlineLvl w:val="1"/>
        <w:rPr>
          <w:rFonts w:ascii="Times New Roman" w:eastAsia="Times New Roman" w:hAnsi="Times New Roman" w:cs="Times New Roman"/>
          <w:b/>
          <w:bCs/>
        </w:rPr>
      </w:pPr>
      <w:r w:rsidRPr="007C6B78">
        <w:rPr>
          <w:rFonts w:ascii="Times New Roman" w:eastAsia="Times New Roman" w:hAnsi="Times New Roman" w:cs="Times New Roman"/>
          <w:b/>
          <w:bCs/>
        </w:rPr>
        <w:t>Dual Coding and Visual Learning</w:t>
      </w:r>
    </w:p>
    <w:p w14:paraId="2434AEFB"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proofErr w:type="spellStart"/>
      <w:r w:rsidRPr="007C6B78">
        <w:rPr>
          <w:rFonts w:ascii="Times New Roman" w:eastAsia="Times New Roman" w:hAnsi="Times New Roman" w:cs="Times New Roman"/>
        </w:rPr>
        <w:t>Paivio’s</w:t>
      </w:r>
      <w:proofErr w:type="spellEnd"/>
      <w:r w:rsidRPr="007C6B78">
        <w:rPr>
          <w:rFonts w:ascii="Times New Roman" w:eastAsia="Times New Roman" w:hAnsi="Times New Roman" w:cs="Times New Roman"/>
        </w:rPr>
        <w:t xml:space="preserve"> (1986) Dual Coding Theory posits that verbal and visual channels form independent but interconnected memory pathways. When vocabulary is linked to images, learners develop stronger cognitive associations. The picture </w:t>
      </w:r>
      <w:r w:rsidRPr="007C6B78">
        <w:rPr>
          <w:rFonts w:ascii="Times New Roman" w:eastAsia="Times New Roman" w:hAnsi="Times New Roman" w:cs="Times New Roman"/>
          <w:i/>
          <w:iCs/>
        </w:rPr>
        <w:t>cat</w:t>
      </w:r>
      <w:r w:rsidRPr="007C6B78">
        <w:rPr>
          <w:rFonts w:ascii="Times New Roman" w:eastAsia="Times New Roman" w:hAnsi="Times New Roman" w:cs="Times New Roman"/>
        </w:rPr>
        <w:t xml:space="preserve"> paired with the word </w:t>
      </w:r>
      <w:r w:rsidRPr="007C6B78">
        <w:rPr>
          <w:rFonts w:ascii="Times New Roman" w:eastAsia="Times New Roman" w:hAnsi="Times New Roman" w:cs="Times New Roman"/>
          <w:i/>
          <w:iCs/>
        </w:rPr>
        <w:t>cat</w:t>
      </w:r>
      <w:r w:rsidRPr="007C6B78">
        <w:rPr>
          <w:rFonts w:ascii="Times New Roman" w:eastAsia="Times New Roman" w:hAnsi="Times New Roman" w:cs="Times New Roman"/>
        </w:rPr>
        <w:t xml:space="preserve"> activates visual and linguistic systems simultaneously, increasing retention. Thornbury (2002) supports this approach, explaining that vocabulary stored through multiple channels is more easily retrieved. Nation (2001) adds that multimodal exposure facilitates long-term acquisition because learners connect form, meaning, and image.</w:t>
      </w:r>
    </w:p>
    <w:p w14:paraId="1AA975D7" w14:textId="26FA4B9C"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This dual coding approach is crucial in remote Indonesian classrooms where vocabulary input is minimal. Students may encounter English only through textbooks or chalkboards. Visual games offer richer stimuli and thus help reduce abstraction. They also lower anxiety because learners focus on recognition rather than linguistic performance. As </w:t>
      </w:r>
      <w:proofErr w:type="spellStart"/>
      <w:r w:rsidRPr="007C6B78">
        <w:rPr>
          <w:rFonts w:ascii="Times New Roman" w:eastAsia="Times New Roman" w:hAnsi="Times New Roman" w:cs="Times New Roman"/>
        </w:rPr>
        <w:t>Dewaele</w:t>
      </w:r>
      <w:proofErr w:type="spellEnd"/>
      <w:r w:rsidRPr="007C6B78">
        <w:rPr>
          <w:rFonts w:ascii="Times New Roman" w:eastAsia="Times New Roman" w:hAnsi="Times New Roman" w:cs="Times New Roman"/>
        </w:rPr>
        <w:t xml:space="preserve"> and Li (2021) found, enjoyment mediates social-</w:t>
      </w:r>
      <w:proofErr w:type="spellStart"/>
      <w:r w:rsidRPr="007C6B78">
        <w:rPr>
          <w:rFonts w:ascii="Times New Roman" w:eastAsia="Times New Roman" w:hAnsi="Times New Roman" w:cs="Times New Roman"/>
        </w:rPr>
        <w:t>behavioral</w:t>
      </w:r>
      <w:proofErr w:type="spellEnd"/>
      <w:r w:rsidRPr="007C6B78">
        <w:rPr>
          <w:rFonts w:ascii="Times New Roman" w:eastAsia="Times New Roman" w:hAnsi="Times New Roman" w:cs="Times New Roman"/>
        </w:rPr>
        <w:t xml:space="preserve"> engagement, making playful activities ideal environments to stimulate vocabulary practice among reluctant learners.</w:t>
      </w:r>
    </w:p>
    <w:p w14:paraId="6B3357F1" w14:textId="77777777" w:rsidR="00787FC2" w:rsidRPr="007C6B78" w:rsidRDefault="00787FC2" w:rsidP="007C6B78">
      <w:pPr>
        <w:spacing w:before="100" w:beforeAutospacing="1" w:after="100" w:afterAutospacing="1" w:line="360" w:lineRule="auto"/>
        <w:ind w:firstLine="720"/>
        <w:contextualSpacing/>
        <w:jc w:val="both"/>
        <w:rPr>
          <w:rFonts w:ascii="Times New Roman" w:eastAsia="Times New Roman" w:hAnsi="Times New Roman" w:cs="Times New Roman"/>
        </w:rPr>
      </w:pPr>
    </w:p>
    <w:p w14:paraId="721A87DA" w14:textId="77777777" w:rsidR="00EF18DF" w:rsidRPr="007C6B78" w:rsidRDefault="00EF18DF" w:rsidP="007C6B78">
      <w:pPr>
        <w:spacing w:before="100" w:beforeAutospacing="1" w:after="100" w:afterAutospacing="1" w:line="360" w:lineRule="auto"/>
        <w:contextualSpacing/>
        <w:jc w:val="both"/>
        <w:outlineLvl w:val="0"/>
        <w:rPr>
          <w:rFonts w:ascii="Times New Roman" w:eastAsia="Times New Roman" w:hAnsi="Times New Roman" w:cs="Times New Roman"/>
          <w:b/>
          <w:bCs/>
          <w:kern w:val="36"/>
        </w:rPr>
      </w:pPr>
      <w:r w:rsidRPr="007C6B78">
        <w:rPr>
          <w:rFonts w:ascii="Times New Roman" w:eastAsia="Times New Roman" w:hAnsi="Times New Roman" w:cs="Times New Roman"/>
          <w:b/>
          <w:bCs/>
          <w:kern w:val="36"/>
        </w:rPr>
        <w:t>RESEARCH METHOD</w:t>
      </w:r>
    </w:p>
    <w:p w14:paraId="7EDAB2B9"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The present research applies a Classroom Action Research (CAR) design to solve instructional problems at the classroom level. CAR empowers teachers to investigate their teaching practices and adjust them through iterative action (</w:t>
      </w:r>
      <w:proofErr w:type="spellStart"/>
      <w:r w:rsidRPr="007C6B78">
        <w:rPr>
          <w:rFonts w:ascii="Times New Roman" w:eastAsia="Times New Roman" w:hAnsi="Times New Roman" w:cs="Times New Roman"/>
        </w:rPr>
        <w:t>Kemmis</w:t>
      </w:r>
      <w:proofErr w:type="spellEnd"/>
      <w:r w:rsidRPr="007C6B78">
        <w:rPr>
          <w:rFonts w:ascii="Times New Roman" w:eastAsia="Times New Roman" w:hAnsi="Times New Roman" w:cs="Times New Roman"/>
        </w:rPr>
        <w:t xml:space="preserve"> &amp; McTaggart, 1988). This research explicitly sought practical solutions to low vocabulary mastery and engagement.</w:t>
      </w:r>
    </w:p>
    <w:p w14:paraId="3E785CDD" w14:textId="77777777" w:rsidR="00787FC2" w:rsidRPr="007C6B78" w:rsidRDefault="00787FC2" w:rsidP="007C6B78">
      <w:pPr>
        <w:spacing w:before="100" w:beforeAutospacing="1" w:after="100" w:afterAutospacing="1" w:line="360" w:lineRule="auto"/>
        <w:contextualSpacing/>
        <w:jc w:val="both"/>
        <w:outlineLvl w:val="1"/>
        <w:rPr>
          <w:rFonts w:ascii="Times New Roman" w:eastAsia="Times New Roman" w:hAnsi="Times New Roman" w:cs="Times New Roman"/>
          <w:b/>
          <w:bCs/>
        </w:rPr>
      </w:pPr>
    </w:p>
    <w:p w14:paraId="27075F37" w14:textId="2BC1A234" w:rsidR="00EF18DF" w:rsidRPr="007C6B78" w:rsidRDefault="00EF18DF" w:rsidP="007C6B78">
      <w:pPr>
        <w:spacing w:before="100" w:beforeAutospacing="1" w:after="100" w:afterAutospacing="1" w:line="360" w:lineRule="auto"/>
        <w:contextualSpacing/>
        <w:jc w:val="both"/>
        <w:outlineLvl w:val="1"/>
        <w:rPr>
          <w:rFonts w:ascii="Times New Roman" w:eastAsia="Times New Roman" w:hAnsi="Times New Roman" w:cs="Times New Roman"/>
          <w:b/>
          <w:bCs/>
        </w:rPr>
      </w:pPr>
      <w:r w:rsidRPr="007C6B78">
        <w:rPr>
          <w:rFonts w:ascii="Times New Roman" w:eastAsia="Times New Roman" w:hAnsi="Times New Roman" w:cs="Times New Roman"/>
          <w:b/>
          <w:bCs/>
        </w:rPr>
        <w:t>Participants and Research Setting</w:t>
      </w:r>
    </w:p>
    <w:p w14:paraId="60DC8C22"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The study was conducted at SMA Sint Carolus </w:t>
      </w:r>
      <w:proofErr w:type="spellStart"/>
      <w:r w:rsidRPr="007C6B78">
        <w:rPr>
          <w:rFonts w:ascii="Times New Roman" w:eastAsia="Times New Roman" w:hAnsi="Times New Roman" w:cs="Times New Roman"/>
        </w:rPr>
        <w:t>Penfui</w:t>
      </w:r>
      <w:proofErr w:type="spellEnd"/>
      <w:r w:rsidRPr="007C6B78">
        <w:rPr>
          <w:rFonts w:ascii="Times New Roman" w:eastAsia="Times New Roman" w:hAnsi="Times New Roman" w:cs="Times New Roman"/>
        </w:rPr>
        <w:t xml:space="preserve"> </w:t>
      </w:r>
      <w:proofErr w:type="spellStart"/>
      <w:r w:rsidRPr="007C6B78">
        <w:rPr>
          <w:rFonts w:ascii="Times New Roman" w:eastAsia="Times New Roman" w:hAnsi="Times New Roman" w:cs="Times New Roman"/>
        </w:rPr>
        <w:t>Kupang</w:t>
      </w:r>
      <w:proofErr w:type="spellEnd"/>
      <w:r w:rsidRPr="007C6B78">
        <w:rPr>
          <w:rFonts w:ascii="Times New Roman" w:eastAsia="Times New Roman" w:hAnsi="Times New Roman" w:cs="Times New Roman"/>
        </w:rPr>
        <w:t xml:space="preserve"> during the 2025/2026 academic year. The participants were 18 Grade XI students with mixed English proficiency. Preliminary classroom observations revealed three problems: (1) weak vocabulary knowledge, (2) low participation, and (3) avoidance of English due to fear of error. The class was therefore chosen purposively, consistent with CAR principles that prioritize context-specific intervention.</w:t>
      </w:r>
    </w:p>
    <w:p w14:paraId="5832261E" w14:textId="77777777" w:rsidR="00787FC2" w:rsidRPr="007C6B78" w:rsidRDefault="00787FC2" w:rsidP="007C6B78">
      <w:pPr>
        <w:spacing w:before="100" w:beforeAutospacing="1" w:after="100" w:afterAutospacing="1" w:line="360" w:lineRule="auto"/>
        <w:contextualSpacing/>
        <w:jc w:val="both"/>
        <w:outlineLvl w:val="1"/>
        <w:rPr>
          <w:rFonts w:ascii="Times New Roman" w:eastAsia="Times New Roman" w:hAnsi="Times New Roman" w:cs="Times New Roman"/>
          <w:b/>
          <w:bCs/>
        </w:rPr>
      </w:pPr>
    </w:p>
    <w:p w14:paraId="07F8D550" w14:textId="2A8F5810" w:rsidR="00EF18DF" w:rsidRPr="007C6B78" w:rsidRDefault="00EF18DF" w:rsidP="007C6B78">
      <w:pPr>
        <w:spacing w:before="100" w:beforeAutospacing="1" w:after="100" w:afterAutospacing="1" w:line="360" w:lineRule="auto"/>
        <w:contextualSpacing/>
        <w:jc w:val="both"/>
        <w:outlineLvl w:val="1"/>
        <w:rPr>
          <w:rFonts w:ascii="Times New Roman" w:eastAsia="Times New Roman" w:hAnsi="Times New Roman" w:cs="Times New Roman"/>
          <w:b/>
          <w:bCs/>
        </w:rPr>
      </w:pPr>
      <w:r w:rsidRPr="007C6B78">
        <w:rPr>
          <w:rFonts w:ascii="Times New Roman" w:eastAsia="Times New Roman" w:hAnsi="Times New Roman" w:cs="Times New Roman"/>
          <w:b/>
          <w:bCs/>
        </w:rPr>
        <w:t>Design and Procedures</w:t>
      </w:r>
    </w:p>
    <w:p w14:paraId="27EC8597" w14:textId="22A5AAB3" w:rsidR="00787FC2" w:rsidRPr="007C6B78" w:rsidRDefault="00EF18DF" w:rsidP="007C6B78">
      <w:pPr>
        <w:spacing w:before="100" w:beforeAutospacing="1" w:after="100" w:afterAutospacing="1" w:line="360" w:lineRule="auto"/>
        <w:contextualSpacing/>
        <w:rPr>
          <w:rFonts w:ascii="Times New Roman" w:eastAsia="Times New Roman" w:hAnsi="Times New Roman" w:cs="Times New Roman"/>
        </w:rPr>
      </w:pPr>
      <w:r w:rsidRPr="007C6B78">
        <w:rPr>
          <w:rFonts w:ascii="Times New Roman" w:eastAsia="Times New Roman" w:hAnsi="Times New Roman" w:cs="Times New Roman"/>
        </w:rPr>
        <w:t xml:space="preserve">CAR follows </w:t>
      </w:r>
      <w:r w:rsidR="00787FC2" w:rsidRPr="007C6B78">
        <w:rPr>
          <w:rFonts w:ascii="Times New Roman" w:eastAsia="Times New Roman" w:hAnsi="Times New Roman" w:cs="Times New Roman"/>
        </w:rPr>
        <w:t xml:space="preserve">the following </w:t>
      </w:r>
      <w:r w:rsidRPr="007C6B78">
        <w:rPr>
          <w:rFonts w:ascii="Times New Roman" w:eastAsia="Times New Roman" w:hAnsi="Times New Roman" w:cs="Times New Roman"/>
        </w:rPr>
        <w:t>cyclic approach:</w:t>
      </w:r>
    </w:p>
    <w:p w14:paraId="4892649A" w14:textId="77777777" w:rsidR="00787FC2" w:rsidRPr="007C6B78" w:rsidRDefault="00787FC2" w:rsidP="007C6B78">
      <w:pPr>
        <w:spacing w:before="100" w:beforeAutospacing="1" w:after="100" w:afterAutospacing="1" w:line="360" w:lineRule="auto"/>
        <w:contextualSpacing/>
        <w:rPr>
          <w:rFonts w:ascii="Times New Roman" w:eastAsia="Times New Roman" w:hAnsi="Times New Roman" w:cs="Times New Roman"/>
        </w:rPr>
      </w:pPr>
    </w:p>
    <w:p w14:paraId="7C27B781" w14:textId="2CC9EA29" w:rsidR="00DE55B1" w:rsidRPr="007C6B78" w:rsidRDefault="00787FC2" w:rsidP="007C6B78">
      <w:pPr>
        <w:spacing w:before="100" w:beforeAutospacing="1" w:after="100" w:afterAutospacing="1" w:line="360" w:lineRule="auto"/>
        <w:contextualSpacing/>
        <w:rPr>
          <w:rFonts w:ascii="Times New Roman" w:eastAsia="Times New Roman" w:hAnsi="Times New Roman" w:cs="Times New Roman"/>
        </w:rPr>
      </w:pPr>
      <w:r w:rsidRPr="007C6B78">
        <w:rPr>
          <w:rFonts w:ascii="Times New Roman" w:eastAsia="Times New Roman" w:hAnsi="Times New Roman" w:cs="Times New Roman"/>
          <w:noProof/>
        </w:rPr>
        <w:lastRenderedPageBreak/>
        <w:drawing>
          <wp:inline distT="0" distB="0" distL="0" distR="0" wp14:anchorId="71C0F693" wp14:editId="7D25AE61">
            <wp:extent cx="4636294" cy="564356"/>
            <wp:effectExtent l="38100" t="25400" r="37465" b="2032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4DB5D0A8" w14:textId="09C5AB1D" w:rsidR="00787FC2" w:rsidRPr="007C6B78" w:rsidRDefault="00787FC2" w:rsidP="007C6B78">
      <w:pPr>
        <w:spacing w:before="100" w:beforeAutospacing="1" w:after="100" w:afterAutospacing="1" w:line="360" w:lineRule="auto"/>
        <w:contextualSpacing/>
        <w:rPr>
          <w:rFonts w:ascii="Times New Roman" w:eastAsia="Times New Roman" w:hAnsi="Times New Roman" w:cs="Times New Roman"/>
          <w:bCs/>
        </w:rPr>
      </w:pPr>
      <w:r w:rsidRPr="007C6B78">
        <w:rPr>
          <w:rStyle w:val="Strong"/>
          <w:rFonts w:ascii="Times New Roman" w:hAnsi="Times New Roman" w:cs="Times New Roman"/>
          <w:b w:val="0"/>
          <w:bCs w:val="0"/>
        </w:rPr>
        <w:t>Figure 1. CAR Cycle</w:t>
      </w:r>
      <w:r w:rsidR="00EF18DF" w:rsidRPr="007C6B78">
        <w:rPr>
          <w:rFonts w:ascii="Times New Roman" w:eastAsia="Times New Roman" w:hAnsi="Times New Roman" w:cs="Times New Roman"/>
        </w:rPr>
        <w:br/>
      </w:r>
    </w:p>
    <w:p w14:paraId="701C132F" w14:textId="1084B238" w:rsidR="00EF18DF" w:rsidRPr="007C6B78" w:rsidRDefault="00EF18DF" w:rsidP="007C6B78">
      <w:pPr>
        <w:spacing w:before="100" w:beforeAutospacing="1" w:after="100" w:afterAutospacing="1" w:line="360" w:lineRule="auto"/>
        <w:contextualSpacing/>
        <w:rPr>
          <w:rFonts w:ascii="Times New Roman" w:eastAsia="Times New Roman" w:hAnsi="Times New Roman" w:cs="Times New Roman"/>
        </w:rPr>
      </w:pPr>
      <w:r w:rsidRPr="007C6B78">
        <w:rPr>
          <w:rFonts w:ascii="Times New Roman" w:eastAsia="Times New Roman" w:hAnsi="Times New Roman" w:cs="Times New Roman"/>
          <w:bCs/>
        </w:rPr>
        <w:t>Cycle I</w:t>
      </w:r>
      <w:r w:rsidRPr="007C6B78">
        <w:rPr>
          <w:rFonts w:ascii="Times New Roman" w:eastAsia="Times New Roman" w:hAnsi="Times New Roman" w:cs="Times New Roman"/>
        </w:rPr>
        <w:t xml:space="preserve"> aimed to introduce vocabulary through the Picture Matching Game without altering classroom routines significantly. Pictures and vocabulary cards were distributed, and students worked in small groups. The researcher facilitated but did not intervene heavily, observing how students responded.</w:t>
      </w:r>
    </w:p>
    <w:p w14:paraId="0018E9F7" w14:textId="16ED319B" w:rsidR="00EF18DF" w:rsidRPr="007C6B78" w:rsidRDefault="00EF18DF" w:rsidP="007C6B78">
      <w:pPr>
        <w:spacing w:before="100" w:beforeAutospacing="1" w:after="100" w:afterAutospacing="1" w:line="360" w:lineRule="auto"/>
        <w:contextualSpacing/>
        <w:jc w:val="both"/>
        <w:rPr>
          <w:rFonts w:ascii="Times New Roman" w:eastAsia="Times New Roman" w:hAnsi="Times New Roman" w:cs="Times New Roman"/>
        </w:rPr>
      </w:pPr>
      <w:r w:rsidRPr="007C6B78">
        <w:rPr>
          <w:rFonts w:ascii="Times New Roman" w:eastAsia="Times New Roman" w:hAnsi="Times New Roman" w:cs="Times New Roman"/>
          <w:bCs/>
        </w:rPr>
        <w:t>Cycle II</w:t>
      </w:r>
      <w:r w:rsidRPr="007C6B78">
        <w:rPr>
          <w:rFonts w:ascii="Times New Roman" w:eastAsia="Times New Roman" w:hAnsi="Times New Roman" w:cs="Times New Roman"/>
        </w:rPr>
        <w:t xml:space="preserve"> implemented refinements based on reflection. Pictures were categorized (food, household items, animals), vocabulary cards were more contextually appropriate, and game rules encouraged verbal explanation. Students were provided opportunities to guess aloud, reformulate responses, and negotiate meaning. These modifications targeted comprehension and confidence.</w:t>
      </w:r>
    </w:p>
    <w:p w14:paraId="2494BF95" w14:textId="77777777" w:rsidR="00787FC2" w:rsidRPr="007C6B78" w:rsidRDefault="00787FC2" w:rsidP="007C6B78">
      <w:pPr>
        <w:spacing w:before="100" w:beforeAutospacing="1" w:after="100" w:afterAutospacing="1" w:line="360" w:lineRule="auto"/>
        <w:contextualSpacing/>
        <w:jc w:val="both"/>
        <w:rPr>
          <w:rFonts w:ascii="Times New Roman" w:eastAsia="Times New Roman" w:hAnsi="Times New Roman" w:cs="Times New Roman"/>
        </w:rPr>
      </w:pPr>
    </w:p>
    <w:p w14:paraId="56D44DD2" w14:textId="77777777" w:rsidR="00EF18DF" w:rsidRPr="007C6B78" w:rsidRDefault="00EF18DF" w:rsidP="007C6B78">
      <w:pPr>
        <w:spacing w:before="100" w:beforeAutospacing="1" w:after="100" w:afterAutospacing="1" w:line="360" w:lineRule="auto"/>
        <w:contextualSpacing/>
        <w:jc w:val="both"/>
        <w:outlineLvl w:val="1"/>
        <w:rPr>
          <w:rFonts w:ascii="Times New Roman" w:eastAsia="Times New Roman" w:hAnsi="Times New Roman" w:cs="Times New Roman"/>
          <w:b/>
          <w:bCs/>
        </w:rPr>
      </w:pPr>
      <w:r w:rsidRPr="007C6B78">
        <w:rPr>
          <w:rFonts w:ascii="Times New Roman" w:eastAsia="Times New Roman" w:hAnsi="Times New Roman" w:cs="Times New Roman"/>
          <w:b/>
          <w:bCs/>
        </w:rPr>
        <w:t>Data Collection</w:t>
      </w:r>
    </w:p>
    <w:p w14:paraId="29BA47C2" w14:textId="77777777" w:rsidR="00EF18DF" w:rsidRPr="007C6B78" w:rsidRDefault="00EF18DF" w:rsidP="007C6B78">
      <w:pPr>
        <w:spacing w:before="100" w:beforeAutospacing="1" w:after="100" w:afterAutospacing="1" w:line="360" w:lineRule="auto"/>
        <w:contextualSpacing/>
        <w:jc w:val="both"/>
        <w:rPr>
          <w:rFonts w:ascii="Times New Roman" w:eastAsia="Times New Roman" w:hAnsi="Times New Roman" w:cs="Times New Roman"/>
        </w:rPr>
      </w:pPr>
      <w:r w:rsidRPr="007C6B78">
        <w:rPr>
          <w:rFonts w:ascii="Times New Roman" w:eastAsia="Times New Roman" w:hAnsi="Times New Roman" w:cs="Times New Roman"/>
        </w:rPr>
        <w:t>Data were collected using:</w:t>
      </w:r>
    </w:p>
    <w:p w14:paraId="6A5FB61D" w14:textId="74CB1EB2" w:rsidR="00EF18DF" w:rsidRPr="007C6B78" w:rsidRDefault="00EF18DF" w:rsidP="007C6B78">
      <w:pPr>
        <w:numPr>
          <w:ilvl w:val="0"/>
          <w:numId w:val="1"/>
        </w:numPr>
        <w:spacing w:before="100" w:beforeAutospacing="1" w:after="100" w:afterAutospacing="1" w:line="360" w:lineRule="auto"/>
        <w:contextualSpacing/>
        <w:jc w:val="both"/>
        <w:rPr>
          <w:rFonts w:ascii="Times New Roman" w:eastAsia="Times New Roman" w:hAnsi="Times New Roman" w:cs="Times New Roman"/>
        </w:rPr>
      </w:pPr>
      <w:r w:rsidRPr="007C6B78">
        <w:rPr>
          <w:rFonts w:ascii="Times New Roman" w:eastAsia="Times New Roman" w:hAnsi="Times New Roman" w:cs="Times New Roman"/>
          <w:bCs/>
        </w:rPr>
        <w:t>Vocabulary tests</w:t>
      </w:r>
      <w:r w:rsidR="00516E03" w:rsidRPr="007C6B78">
        <w:rPr>
          <w:rFonts w:ascii="Times New Roman" w:eastAsia="Times New Roman" w:hAnsi="Times New Roman" w:cs="Times New Roman"/>
        </w:rPr>
        <w:t>:</w:t>
      </w:r>
      <w:r w:rsidRPr="007C6B78">
        <w:rPr>
          <w:rFonts w:ascii="Times New Roman" w:eastAsia="Times New Roman" w:hAnsi="Times New Roman" w:cs="Times New Roman"/>
        </w:rPr>
        <w:t xml:space="preserve"> 30 items per instrument, combining matching, definition, and usage tasks.</w:t>
      </w:r>
    </w:p>
    <w:p w14:paraId="74DA722A" w14:textId="02FAC7B2" w:rsidR="00EF18DF" w:rsidRPr="007C6B78" w:rsidRDefault="00EF18DF" w:rsidP="007C6B78">
      <w:pPr>
        <w:numPr>
          <w:ilvl w:val="0"/>
          <w:numId w:val="1"/>
        </w:numPr>
        <w:spacing w:before="100" w:beforeAutospacing="1" w:after="100" w:afterAutospacing="1" w:line="360" w:lineRule="auto"/>
        <w:contextualSpacing/>
        <w:jc w:val="both"/>
        <w:rPr>
          <w:rFonts w:ascii="Times New Roman" w:eastAsia="Times New Roman" w:hAnsi="Times New Roman" w:cs="Times New Roman"/>
        </w:rPr>
      </w:pPr>
      <w:r w:rsidRPr="007C6B78">
        <w:rPr>
          <w:rFonts w:ascii="Times New Roman" w:eastAsia="Times New Roman" w:hAnsi="Times New Roman" w:cs="Times New Roman"/>
          <w:bCs/>
        </w:rPr>
        <w:t>Observation sheets</w:t>
      </w:r>
      <w:r w:rsidR="00516E03" w:rsidRPr="007C6B78">
        <w:rPr>
          <w:rFonts w:ascii="Times New Roman" w:eastAsia="Times New Roman" w:hAnsi="Times New Roman" w:cs="Times New Roman"/>
        </w:rPr>
        <w:t xml:space="preserve">: </w:t>
      </w:r>
      <w:r w:rsidRPr="007C6B78">
        <w:rPr>
          <w:rFonts w:ascii="Times New Roman" w:eastAsia="Times New Roman" w:hAnsi="Times New Roman" w:cs="Times New Roman"/>
        </w:rPr>
        <w:t>measuring attention, interaction, vocabulary use, emotion, and persistence.</w:t>
      </w:r>
    </w:p>
    <w:p w14:paraId="7B5AAA38" w14:textId="5BD4CD89" w:rsidR="00EF18DF" w:rsidRPr="007C6B78" w:rsidRDefault="00EF18DF" w:rsidP="007C6B78">
      <w:pPr>
        <w:numPr>
          <w:ilvl w:val="0"/>
          <w:numId w:val="1"/>
        </w:numPr>
        <w:spacing w:before="100" w:beforeAutospacing="1" w:after="100" w:afterAutospacing="1" w:line="360" w:lineRule="auto"/>
        <w:contextualSpacing/>
        <w:jc w:val="both"/>
        <w:rPr>
          <w:rFonts w:ascii="Times New Roman" w:eastAsia="Times New Roman" w:hAnsi="Times New Roman" w:cs="Times New Roman"/>
        </w:rPr>
      </w:pPr>
      <w:r w:rsidRPr="007C6B78">
        <w:rPr>
          <w:rFonts w:ascii="Times New Roman" w:eastAsia="Times New Roman" w:hAnsi="Times New Roman" w:cs="Times New Roman"/>
          <w:bCs/>
        </w:rPr>
        <w:t>Field notes</w:t>
      </w:r>
      <w:r w:rsidR="00516E03" w:rsidRPr="007C6B78">
        <w:rPr>
          <w:rFonts w:ascii="Times New Roman" w:eastAsia="Times New Roman" w:hAnsi="Times New Roman" w:cs="Times New Roman"/>
        </w:rPr>
        <w:t xml:space="preserve">: </w:t>
      </w:r>
      <w:r w:rsidRPr="007C6B78">
        <w:rPr>
          <w:rFonts w:ascii="Times New Roman" w:eastAsia="Times New Roman" w:hAnsi="Times New Roman" w:cs="Times New Roman"/>
        </w:rPr>
        <w:t>documenting verbal exchanges, hesitation, laughter, confusion, peer coaching, and social patterns.</w:t>
      </w:r>
    </w:p>
    <w:p w14:paraId="6DD122A1" w14:textId="77777777" w:rsidR="00787FC2" w:rsidRPr="007C6B78" w:rsidRDefault="00787FC2" w:rsidP="007C6B78">
      <w:pPr>
        <w:spacing w:before="100" w:beforeAutospacing="1" w:after="100" w:afterAutospacing="1" w:line="360" w:lineRule="auto"/>
        <w:ind w:left="720"/>
        <w:contextualSpacing/>
        <w:jc w:val="both"/>
        <w:rPr>
          <w:rFonts w:ascii="Times New Roman" w:eastAsia="Times New Roman" w:hAnsi="Times New Roman" w:cs="Times New Roman"/>
        </w:rPr>
      </w:pPr>
    </w:p>
    <w:p w14:paraId="32A1EBFA" w14:textId="77777777" w:rsidR="00D60BCA" w:rsidRPr="007C6B78" w:rsidRDefault="00D60BCA" w:rsidP="007C6B78">
      <w:pPr>
        <w:spacing w:line="360" w:lineRule="auto"/>
        <w:contextualSpacing/>
        <w:jc w:val="both"/>
        <w:rPr>
          <w:rFonts w:ascii="Times New Roman" w:eastAsia="Times New Roman" w:hAnsi="Times New Roman" w:cs="Times New Roman"/>
          <w:b/>
        </w:rPr>
      </w:pPr>
      <w:r w:rsidRPr="007C6B78">
        <w:rPr>
          <w:rFonts w:ascii="Times New Roman" w:eastAsia="Times New Roman" w:hAnsi="Times New Roman" w:cs="Times New Roman"/>
          <w:b/>
        </w:rPr>
        <w:t>RESEARCH FINDINGS AND DISCUSSION</w:t>
      </w:r>
    </w:p>
    <w:p w14:paraId="115A8C83" w14:textId="6BC2142E" w:rsidR="006430B8" w:rsidRPr="007C6B78" w:rsidRDefault="00EF18DF" w:rsidP="00DD35F0">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Quantitative data were </w:t>
      </w:r>
      <w:r w:rsidR="00D60BCA" w:rsidRPr="007C6B78">
        <w:rPr>
          <w:rFonts w:ascii="Times New Roman" w:eastAsia="Times New Roman" w:hAnsi="Times New Roman" w:cs="Times New Roman"/>
        </w:rPr>
        <w:t>analysed</w:t>
      </w:r>
      <w:r w:rsidRPr="007C6B78">
        <w:rPr>
          <w:rFonts w:ascii="Times New Roman" w:eastAsia="Times New Roman" w:hAnsi="Times New Roman" w:cs="Times New Roman"/>
        </w:rPr>
        <w:t xml:space="preserve"> descriptively: mean scores and mastery percentages. Qualitative data were coded inductively, revealing patterns in engagement, vocabulary usage, and emotional responses. The triangulation of test results and observed </w:t>
      </w:r>
      <w:r w:rsidR="00D60BCA" w:rsidRPr="007C6B78">
        <w:rPr>
          <w:rFonts w:ascii="Times New Roman" w:eastAsia="Times New Roman" w:hAnsi="Times New Roman" w:cs="Times New Roman"/>
        </w:rPr>
        <w:t>behaviours</w:t>
      </w:r>
      <w:r w:rsidRPr="007C6B78">
        <w:rPr>
          <w:rFonts w:ascii="Times New Roman" w:eastAsia="Times New Roman" w:hAnsi="Times New Roman" w:cs="Times New Roman"/>
        </w:rPr>
        <w:t xml:space="preserve"> increased reliability.</w:t>
      </w:r>
      <w:r w:rsidR="00D60BCA" w:rsidRPr="007C6B78">
        <w:rPr>
          <w:rFonts w:ascii="Times New Roman" w:eastAsia="Times New Roman" w:hAnsi="Times New Roman" w:cs="Times New Roman"/>
        </w:rPr>
        <w:t xml:space="preserve"> </w:t>
      </w:r>
    </w:p>
    <w:p w14:paraId="338380F2" w14:textId="768F1D05" w:rsidR="006430B8" w:rsidRPr="007C6B78" w:rsidRDefault="006430B8" w:rsidP="007C6B78">
      <w:pPr>
        <w:spacing w:before="100" w:beforeAutospacing="1" w:after="100" w:afterAutospacing="1" w:line="360" w:lineRule="auto"/>
        <w:contextualSpacing/>
        <w:jc w:val="both"/>
        <w:rPr>
          <w:rFonts w:ascii="Times New Roman" w:eastAsia="Times New Roman" w:hAnsi="Times New Roman" w:cs="Times New Roman"/>
          <w:b/>
        </w:rPr>
      </w:pPr>
      <w:r w:rsidRPr="007C6B78">
        <w:rPr>
          <w:rFonts w:ascii="Times New Roman" w:eastAsia="Times New Roman" w:hAnsi="Times New Roman" w:cs="Times New Roman"/>
          <w:b/>
        </w:rPr>
        <w:t>Quantitative Result</w:t>
      </w:r>
    </w:p>
    <w:p w14:paraId="3463E169" w14:textId="72077609" w:rsidR="006430B8" w:rsidRPr="007C6B78" w:rsidRDefault="006430B8" w:rsidP="007C6B78">
      <w:pPr>
        <w:spacing w:before="100" w:beforeAutospacing="1" w:after="100" w:afterAutospacing="1" w:line="360" w:lineRule="auto"/>
        <w:contextualSpacing/>
        <w:jc w:val="both"/>
        <w:rPr>
          <w:rFonts w:ascii="Times New Roman" w:eastAsia="Times New Roman" w:hAnsi="Times New Roman" w:cs="Times New Roman"/>
        </w:rPr>
      </w:pPr>
      <w:r w:rsidRPr="007C6B78">
        <w:rPr>
          <w:rFonts w:ascii="Times New Roman" w:eastAsia="Times New Roman" w:hAnsi="Times New Roman" w:cs="Times New Roman"/>
        </w:rPr>
        <w:t>Below is the table of students’ performances in pre-action, Cycle I, and Cycle 2.</w:t>
      </w:r>
    </w:p>
    <w:p w14:paraId="0443E2D9" w14:textId="77777777" w:rsidR="00EF18DF" w:rsidRPr="007C6B78" w:rsidRDefault="00EF18DF" w:rsidP="007C6B78">
      <w:pPr>
        <w:pStyle w:val="Heading3"/>
        <w:spacing w:line="360" w:lineRule="auto"/>
        <w:contextualSpacing/>
        <w:jc w:val="both"/>
        <w:rPr>
          <w:rFonts w:ascii="Times New Roman" w:hAnsi="Times New Roman" w:cs="Times New Roman"/>
        </w:rPr>
      </w:pPr>
      <w:r w:rsidRPr="007C6B78">
        <w:rPr>
          <w:rStyle w:val="Strong"/>
          <w:rFonts w:ascii="Times New Roman" w:hAnsi="Times New Roman" w:cs="Times New Roman"/>
          <w:b w:val="0"/>
          <w:bCs w:val="0"/>
          <w:color w:val="auto"/>
        </w:rPr>
        <w:t>Table 1. Student Vocabulary Performance</w:t>
      </w:r>
    </w:p>
    <w:tbl>
      <w:tblPr>
        <w:tblStyle w:val="TableGrid"/>
        <w:tblW w:w="0" w:type="auto"/>
        <w:tblLook w:val="04A0" w:firstRow="1" w:lastRow="0" w:firstColumn="1" w:lastColumn="0" w:noHBand="0" w:noVBand="1"/>
      </w:tblPr>
      <w:tblGrid>
        <w:gridCol w:w="1270"/>
        <w:gridCol w:w="1436"/>
        <w:gridCol w:w="1369"/>
        <w:gridCol w:w="1962"/>
      </w:tblGrid>
      <w:tr w:rsidR="00EF18DF" w:rsidRPr="007C6B78" w14:paraId="144A93BA" w14:textId="77777777" w:rsidTr="00DE55B1">
        <w:tc>
          <w:tcPr>
            <w:tcW w:w="0" w:type="auto"/>
            <w:hideMark/>
          </w:tcPr>
          <w:p w14:paraId="3B6259BA" w14:textId="77777777" w:rsidR="00EF18DF" w:rsidRPr="007C6B78" w:rsidRDefault="00EF18DF" w:rsidP="007C6B78">
            <w:pPr>
              <w:spacing w:line="360" w:lineRule="auto"/>
              <w:contextualSpacing/>
              <w:jc w:val="both"/>
              <w:rPr>
                <w:rFonts w:ascii="Times New Roman" w:hAnsi="Times New Roman" w:cs="Times New Roman"/>
                <w:b/>
                <w:bCs/>
              </w:rPr>
            </w:pPr>
            <w:r w:rsidRPr="007C6B78">
              <w:rPr>
                <w:rFonts w:ascii="Times New Roman" w:hAnsi="Times New Roman" w:cs="Times New Roman"/>
                <w:b/>
                <w:bCs/>
              </w:rPr>
              <w:t>Phase</w:t>
            </w:r>
          </w:p>
        </w:tc>
        <w:tc>
          <w:tcPr>
            <w:tcW w:w="0" w:type="auto"/>
            <w:hideMark/>
          </w:tcPr>
          <w:p w14:paraId="47190591" w14:textId="77777777" w:rsidR="00EF18DF" w:rsidRPr="007C6B78" w:rsidRDefault="00EF18DF" w:rsidP="007C6B78">
            <w:pPr>
              <w:spacing w:line="360" w:lineRule="auto"/>
              <w:contextualSpacing/>
              <w:jc w:val="both"/>
              <w:rPr>
                <w:rFonts w:ascii="Times New Roman" w:hAnsi="Times New Roman" w:cs="Times New Roman"/>
                <w:b/>
                <w:bCs/>
              </w:rPr>
            </w:pPr>
            <w:r w:rsidRPr="007C6B78">
              <w:rPr>
                <w:rFonts w:ascii="Times New Roman" w:hAnsi="Times New Roman" w:cs="Times New Roman"/>
                <w:b/>
                <w:bCs/>
              </w:rPr>
              <w:t>Mean Score</w:t>
            </w:r>
          </w:p>
        </w:tc>
        <w:tc>
          <w:tcPr>
            <w:tcW w:w="0" w:type="auto"/>
            <w:hideMark/>
          </w:tcPr>
          <w:p w14:paraId="25F77314" w14:textId="77777777" w:rsidR="00EF18DF" w:rsidRPr="007C6B78" w:rsidRDefault="00EF18DF" w:rsidP="007C6B78">
            <w:pPr>
              <w:spacing w:line="360" w:lineRule="auto"/>
              <w:contextualSpacing/>
              <w:jc w:val="both"/>
              <w:rPr>
                <w:rFonts w:ascii="Times New Roman" w:hAnsi="Times New Roman" w:cs="Times New Roman"/>
                <w:b/>
                <w:bCs/>
              </w:rPr>
            </w:pPr>
            <w:r w:rsidRPr="007C6B78">
              <w:rPr>
                <w:rFonts w:ascii="Times New Roman" w:hAnsi="Times New Roman" w:cs="Times New Roman"/>
                <w:b/>
                <w:bCs/>
              </w:rPr>
              <w:t>Mastery %</w:t>
            </w:r>
          </w:p>
        </w:tc>
        <w:tc>
          <w:tcPr>
            <w:tcW w:w="0" w:type="auto"/>
            <w:hideMark/>
          </w:tcPr>
          <w:p w14:paraId="21069338" w14:textId="77777777" w:rsidR="00EF18DF" w:rsidRPr="007C6B78" w:rsidRDefault="00EF18DF" w:rsidP="007C6B78">
            <w:pPr>
              <w:spacing w:line="360" w:lineRule="auto"/>
              <w:contextualSpacing/>
              <w:jc w:val="both"/>
              <w:rPr>
                <w:rFonts w:ascii="Times New Roman" w:hAnsi="Times New Roman" w:cs="Times New Roman"/>
                <w:b/>
                <w:bCs/>
              </w:rPr>
            </w:pPr>
            <w:r w:rsidRPr="007C6B78">
              <w:rPr>
                <w:rFonts w:ascii="Times New Roman" w:hAnsi="Times New Roman" w:cs="Times New Roman"/>
                <w:b/>
                <w:bCs/>
              </w:rPr>
              <w:t>Students ≥ KKM</w:t>
            </w:r>
          </w:p>
        </w:tc>
      </w:tr>
      <w:tr w:rsidR="00EF18DF" w:rsidRPr="007C6B78" w14:paraId="47A48051" w14:textId="77777777" w:rsidTr="00DE55B1">
        <w:tc>
          <w:tcPr>
            <w:tcW w:w="0" w:type="auto"/>
            <w:hideMark/>
          </w:tcPr>
          <w:p w14:paraId="0C120BE2"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lastRenderedPageBreak/>
              <w:t>Pre-Action</w:t>
            </w:r>
          </w:p>
        </w:tc>
        <w:tc>
          <w:tcPr>
            <w:tcW w:w="0" w:type="auto"/>
            <w:hideMark/>
          </w:tcPr>
          <w:p w14:paraId="2B5E9141"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55.00</w:t>
            </w:r>
          </w:p>
        </w:tc>
        <w:tc>
          <w:tcPr>
            <w:tcW w:w="0" w:type="auto"/>
            <w:hideMark/>
          </w:tcPr>
          <w:p w14:paraId="65F72E46"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16.67%</w:t>
            </w:r>
          </w:p>
        </w:tc>
        <w:tc>
          <w:tcPr>
            <w:tcW w:w="0" w:type="auto"/>
            <w:hideMark/>
          </w:tcPr>
          <w:p w14:paraId="56B70E18"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3</w:t>
            </w:r>
          </w:p>
        </w:tc>
      </w:tr>
      <w:tr w:rsidR="00EF18DF" w:rsidRPr="007C6B78" w14:paraId="0938A5B0" w14:textId="77777777" w:rsidTr="00DE55B1">
        <w:tc>
          <w:tcPr>
            <w:tcW w:w="0" w:type="auto"/>
            <w:hideMark/>
          </w:tcPr>
          <w:p w14:paraId="0CDB75DA"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Cycle I</w:t>
            </w:r>
          </w:p>
        </w:tc>
        <w:tc>
          <w:tcPr>
            <w:tcW w:w="0" w:type="auto"/>
            <w:hideMark/>
          </w:tcPr>
          <w:p w14:paraId="5A44D82D"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68.50</w:t>
            </w:r>
          </w:p>
        </w:tc>
        <w:tc>
          <w:tcPr>
            <w:tcW w:w="0" w:type="auto"/>
            <w:hideMark/>
          </w:tcPr>
          <w:p w14:paraId="1E262817"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50.00%</w:t>
            </w:r>
          </w:p>
        </w:tc>
        <w:tc>
          <w:tcPr>
            <w:tcW w:w="0" w:type="auto"/>
            <w:hideMark/>
          </w:tcPr>
          <w:p w14:paraId="38DCC9DB"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9</w:t>
            </w:r>
          </w:p>
        </w:tc>
      </w:tr>
      <w:tr w:rsidR="00EF18DF" w:rsidRPr="007C6B78" w14:paraId="6299ABAF" w14:textId="77777777" w:rsidTr="00DE55B1">
        <w:tc>
          <w:tcPr>
            <w:tcW w:w="0" w:type="auto"/>
            <w:hideMark/>
          </w:tcPr>
          <w:p w14:paraId="5D38FD38"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Cycle II</w:t>
            </w:r>
          </w:p>
        </w:tc>
        <w:tc>
          <w:tcPr>
            <w:tcW w:w="0" w:type="auto"/>
            <w:hideMark/>
          </w:tcPr>
          <w:p w14:paraId="6E573498"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81.11</w:t>
            </w:r>
          </w:p>
        </w:tc>
        <w:tc>
          <w:tcPr>
            <w:tcW w:w="0" w:type="auto"/>
            <w:hideMark/>
          </w:tcPr>
          <w:p w14:paraId="22899099"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88.89%</w:t>
            </w:r>
          </w:p>
        </w:tc>
        <w:tc>
          <w:tcPr>
            <w:tcW w:w="0" w:type="auto"/>
            <w:hideMark/>
          </w:tcPr>
          <w:p w14:paraId="127D0E48"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16</w:t>
            </w:r>
          </w:p>
        </w:tc>
      </w:tr>
    </w:tbl>
    <w:p w14:paraId="7F6390EF" w14:textId="77777777" w:rsidR="00D60BCA" w:rsidRPr="007C6B78" w:rsidRDefault="00D60BCA" w:rsidP="007C6B78">
      <w:pPr>
        <w:spacing w:before="100" w:beforeAutospacing="1" w:after="100" w:afterAutospacing="1" w:line="360" w:lineRule="auto"/>
        <w:ind w:firstLine="720"/>
        <w:contextualSpacing/>
        <w:jc w:val="both"/>
        <w:rPr>
          <w:rFonts w:ascii="Times New Roman" w:eastAsia="Times New Roman" w:hAnsi="Times New Roman" w:cs="Times New Roman"/>
        </w:rPr>
      </w:pPr>
    </w:p>
    <w:p w14:paraId="20DBD8DE" w14:textId="0F8D0780" w:rsidR="006430B8" w:rsidRPr="007C6B78" w:rsidRDefault="00D60BCA" w:rsidP="00DD35F0">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The results of this classroom action research demonstrate that the implementation of the Picture Matching Game (PMG) led to substantial improvement in students’ vocabulary mastery. The quantitative data revealed a clear upward trend in student achievement. Students’ mean vocabulary score in the pre-action phase was 55.00, and only 3 of 18 students (16.67%) met the minimum mastery criteria. After the intervention was introduced in Cycle I, the mean increased to 68.50 with 50.00% mastery. Cycle II showed a further improvement, where the mean score reached 81.11 and 88.89% of students successfully achieved the minimum standard. This progressive trend reflects not only the effectiveness of the PMG strategy, but also the influence of instructional design that matches cognitive and affective needs of learners. These findings align with the view that game-based instructional strategies can stimulate intrinsic motivation and increase learners’ engagement (</w:t>
      </w:r>
      <w:proofErr w:type="spellStart"/>
      <w:r w:rsidRPr="007C6B78">
        <w:rPr>
          <w:rFonts w:ascii="Times New Roman" w:eastAsia="Times New Roman" w:hAnsi="Times New Roman" w:cs="Times New Roman"/>
        </w:rPr>
        <w:t>Prensky</w:t>
      </w:r>
      <w:proofErr w:type="spellEnd"/>
      <w:r w:rsidRPr="007C6B78">
        <w:rPr>
          <w:rFonts w:ascii="Times New Roman" w:eastAsia="Times New Roman" w:hAnsi="Times New Roman" w:cs="Times New Roman"/>
        </w:rPr>
        <w:t xml:space="preserve">, 2001; </w:t>
      </w:r>
      <w:proofErr w:type="spellStart"/>
      <w:r w:rsidRPr="007C6B78">
        <w:rPr>
          <w:rFonts w:ascii="Times New Roman" w:eastAsia="Times New Roman" w:hAnsi="Times New Roman" w:cs="Times New Roman"/>
        </w:rPr>
        <w:t>Adipat</w:t>
      </w:r>
      <w:proofErr w:type="spellEnd"/>
      <w:r w:rsidRPr="007C6B78">
        <w:rPr>
          <w:rFonts w:ascii="Times New Roman" w:eastAsia="Times New Roman" w:hAnsi="Times New Roman" w:cs="Times New Roman"/>
        </w:rPr>
        <w:t xml:space="preserve"> et al., 2021).</w:t>
      </w:r>
    </w:p>
    <w:p w14:paraId="4B1CBEA9" w14:textId="6B592EDE" w:rsidR="00D60BCA" w:rsidRPr="007C6B78" w:rsidRDefault="006430B8" w:rsidP="007C6B78">
      <w:pPr>
        <w:spacing w:before="100" w:beforeAutospacing="1" w:after="100" w:afterAutospacing="1" w:line="360" w:lineRule="auto"/>
        <w:contextualSpacing/>
        <w:jc w:val="both"/>
        <w:rPr>
          <w:rFonts w:ascii="Times New Roman" w:eastAsia="Times New Roman" w:hAnsi="Times New Roman" w:cs="Times New Roman"/>
          <w:b/>
        </w:rPr>
      </w:pPr>
      <w:r w:rsidRPr="007C6B78">
        <w:rPr>
          <w:rFonts w:ascii="Times New Roman" w:eastAsia="Times New Roman" w:hAnsi="Times New Roman" w:cs="Times New Roman"/>
          <w:b/>
        </w:rPr>
        <w:t>Qualitative Result</w:t>
      </w:r>
    </w:p>
    <w:p w14:paraId="2BE47464" w14:textId="4002EBCC" w:rsidR="00D60BCA" w:rsidRPr="007C6B78" w:rsidRDefault="00D60BCA"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The qualitative findings add important insights into how vocabulary mastery improved. During the pre-action stage, students were highly dependent on teacher assistance and tended to rely on memorization.</w:t>
      </w:r>
    </w:p>
    <w:p w14:paraId="2F0A1168" w14:textId="77777777" w:rsidR="00EF18DF" w:rsidRPr="007C6B78" w:rsidRDefault="00EF18DF" w:rsidP="007C6B78">
      <w:pPr>
        <w:pStyle w:val="Heading3"/>
        <w:spacing w:line="360" w:lineRule="auto"/>
        <w:contextualSpacing/>
        <w:jc w:val="both"/>
        <w:rPr>
          <w:rFonts w:ascii="Times New Roman" w:hAnsi="Times New Roman" w:cs="Times New Roman"/>
          <w:color w:val="auto"/>
        </w:rPr>
      </w:pPr>
      <w:r w:rsidRPr="007C6B78">
        <w:rPr>
          <w:rStyle w:val="Strong"/>
          <w:rFonts w:ascii="Times New Roman" w:hAnsi="Times New Roman" w:cs="Times New Roman"/>
          <w:b w:val="0"/>
          <w:bCs w:val="0"/>
          <w:color w:val="auto"/>
        </w:rPr>
        <w:t>Table 2. Engagement Indicators</w:t>
      </w:r>
    </w:p>
    <w:tbl>
      <w:tblPr>
        <w:tblStyle w:val="TableGrid"/>
        <w:tblW w:w="0" w:type="auto"/>
        <w:tblLook w:val="04A0" w:firstRow="1" w:lastRow="0" w:firstColumn="1" w:lastColumn="0" w:noHBand="0" w:noVBand="1"/>
      </w:tblPr>
      <w:tblGrid>
        <w:gridCol w:w="1270"/>
        <w:gridCol w:w="2116"/>
        <w:gridCol w:w="1163"/>
      </w:tblGrid>
      <w:tr w:rsidR="00EF18DF" w:rsidRPr="007C6B78" w14:paraId="02FF726A" w14:textId="77777777" w:rsidTr="00DE55B1">
        <w:tc>
          <w:tcPr>
            <w:tcW w:w="0" w:type="auto"/>
            <w:hideMark/>
          </w:tcPr>
          <w:p w14:paraId="304A7EF3" w14:textId="77777777" w:rsidR="00EF18DF" w:rsidRPr="007C6B78" w:rsidRDefault="00EF18DF" w:rsidP="007C6B78">
            <w:pPr>
              <w:spacing w:line="360" w:lineRule="auto"/>
              <w:contextualSpacing/>
              <w:jc w:val="both"/>
              <w:rPr>
                <w:rFonts w:ascii="Times New Roman" w:hAnsi="Times New Roman" w:cs="Times New Roman"/>
                <w:b/>
                <w:bCs/>
              </w:rPr>
            </w:pPr>
            <w:r w:rsidRPr="007C6B78">
              <w:rPr>
                <w:rFonts w:ascii="Times New Roman" w:hAnsi="Times New Roman" w:cs="Times New Roman"/>
                <w:b/>
                <w:bCs/>
              </w:rPr>
              <w:t>Phase</w:t>
            </w:r>
          </w:p>
        </w:tc>
        <w:tc>
          <w:tcPr>
            <w:tcW w:w="0" w:type="auto"/>
            <w:hideMark/>
          </w:tcPr>
          <w:p w14:paraId="34F504A6" w14:textId="77777777" w:rsidR="00EF18DF" w:rsidRPr="007C6B78" w:rsidRDefault="00EF18DF" w:rsidP="007C6B78">
            <w:pPr>
              <w:spacing w:line="360" w:lineRule="auto"/>
              <w:contextualSpacing/>
              <w:jc w:val="both"/>
              <w:rPr>
                <w:rFonts w:ascii="Times New Roman" w:hAnsi="Times New Roman" w:cs="Times New Roman"/>
                <w:b/>
                <w:bCs/>
              </w:rPr>
            </w:pPr>
            <w:r w:rsidRPr="007C6B78">
              <w:rPr>
                <w:rFonts w:ascii="Times New Roman" w:hAnsi="Times New Roman" w:cs="Times New Roman"/>
                <w:b/>
                <w:bCs/>
              </w:rPr>
              <w:t>Engagement Level</w:t>
            </w:r>
          </w:p>
        </w:tc>
        <w:tc>
          <w:tcPr>
            <w:tcW w:w="0" w:type="auto"/>
            <w:hideMark/>
          </w:tcPr>
          <w:p w14:paraId="36C01C03" w14:textId="77777777" w:rsidR="00EF18DF" w:rsidRPr="007C6B78" w:rsidRDefault="00EF18DF" w:rsidP="007C6B78">
            <w:pPr>
              <w:spacing w:line="360" w:lineRule="auto"/>
              <w:contextualSpacing/>
              <w:jc w:val="both"/>
              <w:rPr>
                <w:rFonts w:ascii="Times New Roman" w:hAnsi="Times New Roman" w:cs="Times New Roman"/>
                <w:b/>
                <w:bCs/>
              </w:rPr>
            </w:pPr>
            <w:r w:rsidRPr="007C6B78">
              <w:rPr>
                <w:rFonts w:ascii="Times New Roman" w:hAnsi="Times New Roman" w:cs="Times New Roman"/>
                <w:b/>
                <w:bCs/>
              </w:rPr>
              <w:t>Category</w:t>
            </w:r>
          </w:p>
        </w:tc>
      </w:tr>
      <w:tr w:rsidR="00EF18DF" w:rsidRPr="007C6B78" w14:paraId="04171233" w14:textId="77777777" w:rsidTr="00DE55B1">
        <w:tc>
          <w:tcPr>
            <w:tcW w:w="0" w:type="auto"/>
            <w:hideMark/>
          </w:tcPr>
          <w:p w14:paraId="1CD4FF63"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Pre-Action</w:t>
            </w:r>
          </w:p>
        </w:tc>
        <w:tc>
          <w:tcPr>
            <w:tcW w:w="0" w:type="auto"/>
            <w:hideMark/>
          </w:tcPr>
          <w:p w14:paraId="32563942"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31.67%</w:t>
            </w:r>
          </w:p>
        </w:tc>
        <w:tc>
          <w:tcPr>
            <w:tcW w:w="0" w:type="auto"/>
            <w:hideMark/>
          </w:tcPr>
          <w:p w14:paraId="30DF5D9D"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Low</w:t>
            </w:r>
          </w:p>
        </w:tc>
      </w:tr>
      <w:tr w:rsidR="00EF18DF" w:rsidRPr="007C6B78" w14:paraId="468CC5F8" w14:textId="77777777" w:rsidTr="00DE55B1">
        <w:tc>
          <w:tcPr>
            <w:tcW w:w="0" w:type="auto"/>
            <w:hideMark/>
          </w:tcPr>
          <w:p w14:paraId="0421F0EB"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Cycle I</w:t>
            </w:r>
          </w:p>
        </w:tc>
        <w:tc>
          <w:tcPr>
            <w:tcW w:w="0" w:type="auto"/>
            <w:hideMark/>
          </w:tcPr>
          <w:p w14:paraId="2524184D"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63.33%</w:t>
            </w:r>
          </w:p>
        </w:tc>
        <w:tc>
          <w:tcPr>
            <w:tcW w:w="0" w:type="auto"/>
            <w:hideMark/>
          </w:tcPr>
          <w:p w14:paraId="74C50CE6"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Moderate</w:t>
            </w:r>
          </w:p>
        </w:tc>
      </w:tr>
      <w:tr w:rsidR="00EF18DF" w:rsidRPr="007C6B78" w14:paraId="2B71C264" w14:textId="77777777" w:rsidTr="00DE55B1">
        <w:tc>
          <w:tcPr>
            <w:tcW w:w="0" w:type="auto"/>
            <w:hideMark/>
          </w:tcPr>
          <w:p w14:paraId="2193A305"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Cycle II</w:t>
            </w:r>
          </w:p>
        </w:tc>
        <w:tc>
          <w:tcPr>
            <w:tcW w:w="0" w:type="auto"/>
            <w:hideMark/>
          </w:tcPr>
          <w:p w14:paraId="37E1CE2F"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85.00%</w:t>
            </w:r>
          </w:p>
        </w:tc>
        <w:tc>
          <w:tcPr>
            <w:tcW w:w="0" w:type="auto"/>
            <w:hideMark/>
          </w:tcPr>
          <w:p w14:paraId="6CAFB2F8" w14:textId="77777777" w:rsidR="00EF18DF" w:rsidRPr="007C6B78" w:rsidRDefault="00EF18DF" w:rsidP="007C6B78">
            <w:pPr>
              <w:spacing w:line="360" w:lineRule="auto"/>
              <w:contextualSpacing/>
              <w:jc w:val="both"/>
              <w:rPr>
                <w:rFonts w:ascii="Times New Roman" w:hAnsi="Times New Roman" w:cs="Times New Roman"/>
              </w:rPr>
            </w:pPr>
            <w:r w:rsidRPr="007C6B78">
              <w:rPr>
                <w:rFonts w:ascii="Times New Roman" w:hAnsi="Times New Roman" w:cs="Times New Roman"/>
              </w:rPr>
              <w:t>High</w:t>
            </w:r>
          </w:p>
        </w:tc>
      </w:tr>
    </w:tbl>
    <w:p w14:paraId="6199AE3C" w14:textId="27ED5C23" w:rsidR="008A57D5" w:rsidRPr="007C6B78" w:rsidRDefault="008A57D5" w:rsidP="007C6B78">
      <w:pPr>
        <w:spacing w:line="360" w:lineRule="auto"/>
        <w:contextualSpacing/>
        <w:jc w:val="both"/>
        <w:rPr>
          <w:rFonts w:ascii="Times New Roman" w:hAnsi="Times New Roman" w:cs="Times New Roman"/>
          <w:b/>
        </w:rPr>
      </w:pPr>
    </w:p>
    <w:p w14:paraId="5C6918B3" w14:textId="74532838" w:rsidR="00EF18DF" w:rsidRPr="007C6B78" w:rsidRDefault="00D60BCA"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Table 2 shows how t</w:t>
      </w:r>
      <w:r w:rsidR="00EF18DF" w:rsidRPr="007C6B78">
        <w:rPr>
          <w:rFonts w:ascii="Times New Roman" w:eastAsia="Times New Roman" w:hAnsi="Times New Roman" w:cs="Times New Roman"/>
        </w:rPr>
        <w:t>heir engagement was low (31.67%), as they appeared reluctant to participate and often avoided interaction due to fear of making mistakes. This classroom dynamic can be described as teacher-</w:t>
      </w:r>
      <w:proofErr w:type="spellStart"/>
      <w:r w:rsidR="00EF18DF" w:rsidRPr="007C6B78">
        <w:rPr>
          <w:rFonts w:ascii="Times New Roman" w:eastAsia="Times New Roman" w:hAnsi="Times New Roman" w:cs="Times New Roman"/>
        </w:rPr>
        <w:t>centered</w:t>
      </w:r>
      <w:proofErr w:type="spellEnd"/>
      <w:r w:rsidR="00EF18DF" w:rsidRPr="007C6B78">
        <w:rPr>
          <w:rFonts w:ascii="Times New Roman" w:eastAsia="Times New Roman" w:hAnsi="Times New Roman" w:cs="Times New Roman"/>
        </w:rPr>
        <w:t xml:space="preserve"> learning, where knowledge transmission flows one way (teacher → student) and students remain passive recipients. After Cycle I, students gradually shifted toward more autonomous learning </w:t>
      </w:r>
      <w:proofErr w:type="spellStart"/>
      <w:r w:rsidR="00EF18DF" w:rsidRPr="007C6B78">
        <w:rPr>
          <w:rFonts w:ascii="Times New Roman" w:eastAsia="Times New Roman" w:hAnsi="Times New Roman" w:cs="Times New Roman"/>
        </w:rPr>
        <w:t>behavior</w:t>
      </w:r>
      <w:proofErr w:type="spellEnd"/>
      <w:r w:rsidR="00EF18DF" w:rsidRPr="007C6B78">
        <w:rPr>
          <w:rFonts w:ascii="Times New Roman" w:eastAsia="Times New Roman" w:hAnsi="Times New Roman" w:cs="Times New Roman"/>
        </w:rPr>
        <w:t xml:space="preserve">. Engagement levels rose to 63.33%, and collaborative efforts visibly increased. They began to negotiate meaning within groups, seek assistance from peers, and test vocabulary hypotheses based on visual cues. These </w:t>
      </w:r>
      <w:r w:rsidR="00EF18DF" w:rsidRPr="007C6B78">
        <w:rPr>
          <w:rFonts w:ascii="Times New Roman" w:eastAsia="Times New Roman" w:hAnsi="Times New Roman" w:cs="Times New Roman"/>
        </w:rPr>
        <w:lastRenderedPageBreak/>
        <w:t>patterns are consistent with cooperative learning literature, which shows that collaboration promotes verbal risk-taking and strengthens conceptual understanding (</w:t>
      </w:r>
      <w:proofErr w:type="spellStart"/>
      <w:r w:rsidR="00EF18DF" w:rsidRPr="007C6B78">
        <w:rPr>
          <w:rFonts w:ascii="Times New Roman" w:eastAsia="Times New Roman" w:hAnsi="Times New Roman" w:cs="Times New Roman"/>
        </w:rPr>
        <w:t>Ahamad</w:t>
      </w:r>
      <w:proofErr w:type="spellEnd"/>
      <w:r w:rsidR="00EF18DF" w:rsidRPr="007C6B78">
        <w:rPr>
          <w:rFonts w:ascii="Times New Roman" w:eastAsia="Times New Roman" w:hAnsi="Times New Roman" w:cs="Times New Roman"/>
        </w:rPr>
        <w:t xml:space="preserve"> et al., 2022).</w:t>
      </w:r>
    </w:p>
    <w:p w14:paraId="46E56B3C"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The integration of visual stimuli in the form of pictures was a central factor in these improvements. According to </w:t>
      </w:r>
      <w:proofErr w:type="spellStart"/>
      <w:r w:rsidRPr="007C6B78">
        <w:rPr>
          <w:rFonts w:ascii="Times New Roman" w:eastAsia="Times New Roman" w:hAnsi="Times New Roman" w:cs="Times New Roman"/>
        </w:rPr>
        <w:t>Paivio’s</w:t>
      </w:r>
      <w:proofErr w:type="spellEnd"/>
      <w:r w:rsidRPr="007C6B78">
        <w:rPr>
          <w:rFonts w:ascii="Times New Roman" w:eastAsia="Times New Roman" w:hAnsi="Times New Roman" w:cs="Times New Roman"/>
        </w:rPr>
        <w:t xml:space="preserve"> (1986) Dual Coding Theory, the human brain processes information simultaneously via verbal and non-verbal systems. When vocabulary is introduced through pictures, learners build cognitive bridges between language symbols and mental imagery. Students in Cycle II frequently referenced the images to retrieve meaning (“I remember this picture, that is freezer”), indicating that visual cues supported memory reconstruction. This observation corresponds with Nation (2001), who argues that vocabulary learning must engage memory systems beyond simple rote memorization to ensure long-term retention. Visual anchors helped students associate form and meaning, which made vocabulary more durable and accessible.</w:t>
      </w:r>
    </w:p>
    <w:p w14:paraId="6A4FBF53"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The gamified nature of the learning process also played a decisive role in increasing motivation. Students expressed excitement during matching activities, laughed at incorrect guesses, and celebrated correct answers. This classroom atmosphere stands in stark contrast to conventional vocabulary drills, which often feel like tests rather than learning opportunities. As </w:t>
      </w:r>
      <w:proofErr w:type="spellStart"/>
      <w:r w:rsidRPr="007C6B78">
        <w:rPr>
          <w:rFonts w:ascii="Times New Roman" w:eastAsia="Times New Roman" w:hAnsi="Times New Roman" w:cs="Times New Roman"/>
        </w:rPr>
        <w:t>Prensky</w:t>
      </w:r>
      <w:proofErr w:type="spellEnd"/>
      <w:r w:rsidRPr="007C6B78">
        <w:rPr>
          <w:rFonts w:ascii="Times New Roman" w:eastAsia="Times New Roman" w:hAnsi="Times New Roman" w:cs="Times New Roman"/>
        </w:rPr>
        <w:t xml:space="preserve"> (2001) explains, games trigger intrinsic motivation because they contain the familiar reward systems—achievement, competition, and challenge—that students naturally respond to. Learning becomes meaningful not because the teacher commands it, but because students want to progress. This is consistent with Gee’s (2003) notion of “semiotic domains,” in which learners take on roles, test ideas, and build identities through game participation. Here, the PMG transformed students from test-takers into problem-solvers.</w:t>
      </w:r>
    </w:p>
    <w:p w14:paraId="106BCDE3"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Teacher enthusiasm also indirectly contributed to student engagement. During Cycle I, the researcher provided structured guidance but limited emotional reinforcement. In Cycle II, directions were delivered with more encouragement, clearer scaffolding, and positive affirmation. Students responded with increased willingness to interact, demonstrating </w:t>
      </w:r>
      <w:proofErr w:type="spellStart"/>
      <w:r w:rsidRPr="007C6B78">
        <w:rPr>
          <w:rFonts w:ascii="Times New Roman" w:eastAsia="Times New Roman" w:hAnsi="Times New Roman" w:cs="Times New Roman"/>
        </w:rPr>
        <w:t>behaviors</w:t>
      </w:r>
      <w:proofErr w:type="spellEnd"/>
      <w:r w:rsidRPr="007C6B78">
        <w:rPr>
          <w:rFonts w:ascii="Times New Roman" w:eastAsia="Times New Roman" w:hAnsi="Times New Roman" w:cs="Times New Roman"/>
        </w:rPr>
        <w:t xml:space="preserve"> such as explaining vocabulary to peers or voluntarily using English when placing cards. </w:t>
      </w:r>
      <w:proofErr w:type="spellStart"/>
      <w:r w:rsidRPr="007C6B78">
        <w:rPr>
          <w:rFonts w:ascii="Times New Roman" w:eastAsia="Times New Roman" w:hAnsi="Times New Roman" w:cs="Times New Roman"/>
        </w:rPr>
        <w:t>Dewaele</w:t>
      </w:r>
      <w:proofErr w:type="spellEnd"/>
      <w:r w:rsidRPr="007C6B78">
        <w:rPr>
          <w:rFonts w:ascii="Times New Roman" w:eastAsia="Times New Roman" w:hAnsi="Times New Roman" w:cs="Times New Roman"/>
        </w:rPr>
        <w:t xml:space="preserve"> and Li (2021) found that enthusiasm is socially contagious—when teachers display excitement, students mirror that enthusiasm in their </w:t>
      </w:r>
      <w:proofErr w:type="spellStart"/>
      <w:r w:rsidRPr="007C6B78">
        <w:rPr>
          <w:rFonts w:ascii="Times New Roman" w:eastAsia="Times New Roman" w:hAnsi="Times New Roman" w:cs="Times New Roman"/>
        </w:rPr>
        <w:t>behavioral</w:t>
      </w:r>
      <w:proofErr w:type="spellEnd"/>
      <w:r w:rsidRPr="007C6B78">
        <w:rPr>
          <w:rFonts w:ascii="Times New Roman" w:eastAsia="Times New Roman" w:hAnsi="Times New Roman" w:cs="Times New Roman"/>
        </w:rPr>
        <w:t xml:space="preserve"> engagement. This was evident when hesitant learners began to volunteer answers without being called upon, indicating that their affective filters became lower.</w:t>
      </w:r>
    </w:p>
    <w:p w14:paraId="12C6452D" w14:textId="27D6D5C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The cooperative structure of the PMG helped redistribute responsibility and reduce anxiety. Instead of being judged individually, learners worked in teams of two or three, which provided emotional buffers. Students no longer feared ridicule because they could rely on their </w:t>
      </w:r>
      <w:r w:rsidRPr="007C6B78">
        <w:rPr>
          <w:rFonts w:ascii="Times New Roman" w:eastAsia="Times New Roman" w:hAnsi="Times New Roman" w:cs="Times New Roman"/>
        </w:rPr>
        <w:lastRenderedPageBreak/>
        <w:t xml:space="preserve">partners for confirmation or correction. This mirrors findings from </w:t>
      </w:r>
      <w:proofErr w:type="spellStart"/>
      <w:r w:rsidRPr="007C6B78">
        <w:rPr>
          <w:rFonts w:ascii="Times New Roman" w:eastAsia="Times New Roman" w:hAnsi="Times New Roman" w:cs="Times New Roman"/>
        </w:rPr>
        <w:t>Ahamad</w:t>
      </w:r>
      <w:proofErr w:type="spellEnd"/>
      <w:r w:rsidRPr="007C6B78">
        <w:rPr>
          <w:rFonts w:ascii="Times New Roman" w:eastAsia="Times New Roman" w:hAnsi="Times New Roman" w:cs="Times New Roman"/>
        </w:rPr>
        <w:t xml:space="preserve"> et al. (2022), who emphasize that cooperative learning models strengthen social cohesion and encourage active participation. In Cycle II, peer scaffolding was evident: stronger students assisted weaker peers by explaining vocabulary or gesturing toward images. Such peer scaffolding is not merely a social act</w:t>
      </w:r>
      <w:r w:rsidR="00787FC2" w:rsidRPr="007C6B78">
        <w:rPr>
          <w:rFonts w:ascii="Times New Roman" w:eastAsia="Times New Roman" w:hAnsi="Times New Roman" w:cs="Times New Roman"/>
        </w:rPr>
        <w:t xml:space="preserve"> but </w:t>
      </w:r>
      <w:r w:rsidRPr="007C6B78">
        <w:rPr>
          <w:rFonts w:ascii="Times New Roman" w:eastAsia="Times New Roman" w:hAnsi="Times New Roman" w:cs="Times New Roman"/>
        </w:rPr>
        <w:t>it reflects Vygotskian principles of collective problem solving, where learning is socially mediated and knowledge is co-constructed.</w:t>
      </w:r>
    </w:p>
    <w:p w14:paraId="5B587C4E" w14:textId="191E1712"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Beyond academic gains, the PMG had psychological implications. Many students initially displayed signs of classroom avoidance</w:t>
      </w:r>
      <w:r w:rsidR="00787FC2" w:rsidRPr="007C6B78">
        <w:rPr>
          <w:rFonts w:ascii="Times New Roman" w:eastAsia="Times New Roman" w:hAnsi="Times New Roman" w:cs="Times New Roman"/>
        </w:rPr>
        <w:t xml:space="preserve"> such as </w:t>
      </w:r>
      <w:r w:rsidRPr="007C6B78">
        <w:rPr>
          <w:rFonts w:ascii="Times New Roman" w:eastAsia="Times New Roman" w:hAnsi="Times New Roman" w:cs="Times New Roman"/>
        </w:rPr>
        <w:t xml:space="preserve">looking down, whispering to friends, or waiting passively for answers. After repeated gameplay sessions, these </w:t>
      </w:r>
      <w:proofErr w:type="spellStart"/>
      <w:r w:rsidRPr="007C6B78">
        <w:rPr>
          <w:rFonts w:ascii="Times New Roman" w:eastAsia="Times New Roman" w:hAnsi="Times New Roman" w:cs="Times New Roman"/>
        </w:rPr>
        <w:t>behaviors</w:t>
      </w:r>
      <w:proofErr w:type="spellEnd"/>
      <w:r w:rsidRPr="007C6B78">
        <w:rPr>
          <w:rFonts w:ascii="Times New Roman" w:eastAsia="Times New Roman" w:hAnsi="Times New Roman" w:cs="Times New Roman"/>
        </w:rPr>
        <w:t xml:space="preserve"> diminished. Students began to accept trial-and-error processes and became more relaxed when making mistakes. This aligns with </w:t>
      </w:r>
      <w:proofErr w:type="spellStart"/>
      <w:r w:rsidRPr="007C6B78">
        <w:rPr>
          <w:rFonts w:ascii="Times New Roman" w:eastAsia="Times New Roman" w:hAnsi="Times New Roman" w:cs="Times New Roman"/>
        </w:rPr>
        <w:t>Dewaele</w:t>
      </w:r>
      <w:proofErr w:type="spellEnd"/>
      <w:r w:rsidRPr="007C6B78">
        <w:rPr>
          <w:rFonts w:ascii="Times New Roman" w:eastAsia="Times New Roman" w:hAnsi="Times New Roman" w:cs="Times New Roman"/>
        </w:rPr>
        <w:t xml:space="preserve"> &amp; Li’s (2021) argument that enjoyment reduces anxiety and facilitates engagement. When errors are framed as part of the game’s exploratory nature, they lose their stigma. In Cycle II sessions, students expressed enthusiasm even when losing points because they understood that vocabulary acquisition</w:t>
      </w:r>
      <w:r w:rsidR="00787FC2" w:rsidRPr="007C6B78">
        <w:rPr>
          <w:rFonts w:ascii="Times New Roman" w:eastAsia="Times New Roman" w:hAnsi="Times New Roman" w:cs="Times New Roman"/>
        </w:rPr>
        <w:t xml:space="preserve">, </w:t>
      </w:r>
      <w:r w:rsidRPr="007C6B78">
        <w:rPr>
          <w:rFonts w:ascii="Times New Roman" w:eastAsia="Times New Roman" w:hAnsi="Times New Roman" w:cs="Times New Roman"/>
        </w:rPr>
        <w:t>not perfection</w:t>
      </w:r>
      <w:r w:rsidR="00787FC2" w:rsidRPr="007C6B78">
        <w:rPr>
          <w:rFonts w:ascii="Times New Roman" w:eastAsia="Times New Roman" w:hAnsi="Times New Roman" w:cs="Times New Roman"/>
        </w:rPr>
        <w:t xml:space="preserve">, </w:t>
      </w:r>
      <w:r w:rsidRPr="007C6B78">
        <w:rPr>
          <w:rFonts w:ascii="Times New Roman" w:eastAsia="Times New Roman" w:hAnsi="Times New Roman" w:cs="Times New Roman"/>
        </w:rPr>
        <w:t>was the goal.</w:t>
      </w:r>
    </w:p>
    <w:p w14:paraId="6CA59593"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Notably, the PMG also encouraged spontaneous speech. In traditional vocabulary lessons, student responses are often limited to teacher prompts or reading aloud. During the game, students used English phrases such as “No, that one,” “Check this,” or “Maybe that picture,” even if grammatically imperfect. These emergent utterances indicate authentic communicative use rather than mechanical repetition. Schmitt (2000) argues that vocabulary learning becomes meaningful when students activate lexical items in communication. The PMG created low-risk speaking opportunities where students naturally attempted to produce language without fear of teacher evaluation.</w:t>
      </w:r>
    </w:p>
    <w:p w14:paraId="27680F0E" w14:textId="77777777" w:rsidR="00EF18DF" w:rsidRPr="007C6B78" w:rsidRDefault="00EF18DF"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 xml:space="preserve">The results also validate cultural-contextual arguments in Indonesian EFL settings. </w:t>
      </w:r>
      <w:proofErr w:type="spellStart"/>
      <w:r w:rsidRPr="007C6B78">
        <w:rPr>
          <w:rFonts w:ascii="Times New Roman" w:eastAsia="Times New Roman" w:hAnsi="Times New Roman" w:cs="Times New Roman"/>
        </w:rPr>
        <w:t>Hornay</w:t>
      </w:r>
      <w:proofErr w:type="spellEnd"/>
      <w:r w:rsidRPr="007C6B78">
        <w:rPr>
          <w:rFonts w:ascii="Times New Roman" w:eastAsia="Times New Roman" w:hAnsi="Times New Roman" w:cs="Times New Roman"/>
        </w:rPr>
        <w:t xml:space="preserve">, </w:t>
      </w:r>
      <w:proofErr w:type="spellStart"/>
      <w:r w:rsidRPr="007C6B78">
        <w:rPr>
          <w:rFonts w:ascii="Times New Roman" w:eastAsia="Times New Roman" w:hAnsi="Times New Roman" w:cs="Times New Roman"/>
        </w:rPr>
        <w:t>Talok</w:t>
      </w:r>
      <w:proofErr w:type="spellEnd"/>
      <w:r w:rsidRPr="007C6B78">
        <w:rPr>
          <w:rFonts w:ascii="Times New Roman" w:eastAsia="Times New Roman" w:hAnsi="Times New Roman" w:cs="Times New Roman"/>
        </w:rPr>
        <w:t xml:space="preserve">, and </w:t>
      </w:r>
      <w:proofErr w:type="spellStart"/>
      <w:r w:rsidRPr="007C6B78">
        <w:rPr>
          <w:rFonts w:ascii="Times New Roman" w:eastAsia="Times New Roman" w:hAnsi="Times New Roman" w:cs="Times New Roman"/>
        </w:rPr>
        <w:t>Erom</w:t>
      </w:r>
      <w:proofErr w:type="spellEnd"/>
      <w:r w:rsidRPr="007C6B78">
        <w:rPr>
          <w:rFonts w:ascii="Times New Roman" w:eastAsia="Times New Roman" w:hAnsi="Times New Roman" w:cs="Times New Roman"/>
        </w:rPr>
        <w:t xml:space="preserve"> (2024) show that students’ preferred learning styles are frequently visual, collaborative, and interactive. When instruction aligns with learner preference, motivation increases and cognitive outcomes improve. The PMG addressed this alignment by providing sensory-rich materials (pictures), collaborative learning structures (groups), and playful competition (game mechanics). As learning felt familiar and enjoyable, students became more confident and willing to engage. This was particularly evident in </w:t>
      </w:r>
      <w:proofErr w:type="spellStart"/>
      <w:r w:rsidRPr="007C6B78">
        <w:rPr>
          <w:rFonts w:ascii="Times New Roman" w:eastAsia="Times New Roman" w:hAnsi="Times New Roman" w:cs="Times New Roman"/>
        </w:rPr>
        <w:t>Kupang</w:t>
      </w:r>
      <w:proofErr w:type="spellEnd"/>
      <w:r w:rsidRPr="007C6B78">
        <w:rPr>
          <w:rFonts w:ascii="Times New Roman" w:eastAsia="Times New Roman" w:hAnsi="Times New Roman" w:cs="Times New Roman"/>
        </w:rPr>
        <w:t>, where learners tend to avoid speaking tasks due to self-consciousness (</w:t>
      </w:r>
      <w:proofErr w:type="spellStart"/>
      <w:r w:rsidRPr="007C6B78">
        <w:rPr>
          <w:rFonts w:ascii="Times New Roman" w:eastAsia="Times New Roman" w:hAnsi="Times New Roman" w:cs="Times New Roman"/>
        </w:rPr>
        <w:t>Hornay</w:t>
      </w:r>
      <w:proofErr w:type="spellEnd"/>
      <w:r w:rsidRPr="007C6B78">
        <w:rPr>
          <w:rFonts w:ascii="Times New Roman" w:eastAsia="Times New Roman" w:hAnsi="Times New Roman" w:cs="Times New Roman"/>
        </w:rPr>
        <w:t xml:space="preserve"> &amp; </w:t>
      </w:r>
      <w:proofErr w:type="spellStart"/>
      <w:r w:rsidRPr="007C6B78">
        <w:rPr>
          <w:rFonts w:ascii="Times New Roman" w:eastAsia="Times New Roman" w:hAnsi="Times New Roman" w:cs="Times New Roman"/>
        </w:rPr>
        <w:t>Lomi</w:t>
      </w:r>
      <w:proofErr w:type="spellEnd"/>
      <w:r w:rsidRPr="007C6B78">
        <w:rPr>
          <w:rFonts w:ascii="Times New Roman" w:eastAsia="Times New Roman" w:hAnsi="Times New Roman" w:cs="Times New Roman"/>
        </w:rPr>
        <w:t>, 2024). Visual games reduced linguistic pressure and democratized classroom participation.</w:t>
      </w:r>
    </w:p>
    <w:p w14:paraId="5E16603B" w14:textId="0E031A7F" w:rsidR="00EF18DF" w:rsidRPr="007C6B78" w:rsidRDefault="00FB61D5" w:rsidP="007C6B78">
      <w:pPr>
        <w:spacing w:before="100" w:beforeAutospacing="1" w:after="100" w:afterAutospacing="1" w:line="360" w:lineRule="auto"/>
        <w:ind w:firstLine="720"/>
        <w:contextualSpacing/>
        <w:jc w:val="both"/>
        <w:rPr>
          <w:rFonts w:ascii="Times New Roman" w:eastAsia="Times New Roman" w:hAnsi="Times New Roman" w:cs="Times New Roman"/>
        </w:rPr>
      </w:pPr>
      <w:r w:rsidRPr="007C6B78">
        <w:rPr>
          <w:rFonts w:ascii="Times New Roman" w:eastAsia="Times New Roman" w:hAnsi="Times New Roman" w:cs="Times New Roman"/>
        </w:rPr>
        <w:t>Overall</w:t>
      </w:r>
      <w:r w:rsidR="00EF18DF" w:rsidRPr="007C6B78">
        <w:rPr>
          <w:rFonts w:ascii="Times New Roman" w:eastAsia="Times New Roman" w:hAnsi="Times New Roman" w:cs="Times New Roman"/>
        </w:rPr>
        <w:t xml:space="preserve">, the findings suggest that the PMG was not simply a teaching technique but a reorganizing force in classroom ecology. It shifted power dynamics, altered student identities, activated dual coding systems, and lowered affective barriers. The combined effects produced </w:t>
      </w:r>
      <w:r w:rsidR="00EF18DF" w:rsidRPr="007C6B78">
        <w:rPr>
          <w:rFonts w:ascii="Times New Roman" w:eastAsia="Times New Roman" w:hAnsi="Times New Roman" w:cs="Times New Roman"/>
        </w:rPr>
        <w:lastRenderedPageBreak/>
        <w:t>measurable improvements in vocabulary mastery and observable increases in engagement. Rather than relying on rote memorization or teacher-</w:t>
      </w:r>
      <w:proofErr w:type="spellStart"/>
      <w:r w:rsidR="00EF18DF" w:rsidRPr="007C6B78">
        <w:rPr>
          <w:rFonts w:ascii="Times New Roman" w:eastAsia="Times New Roman" w:hAnsi="Times New Roman" w:cs="Times New Roman"/>
        </w:rPr>
        <w:t>centered</w:t>
      </w:r>
      <w:proofErr w:type="spellEnd"/>
      <w:r w:rsidR="00EF18DF" w:rsidRPr="007C6B78">
        <w:rPr>
          <w:rFonts w:ascii="Times New Roman" w:eastAsia="Times New Roman" w:hAnsi="Times New Roman" w:cs="Times New Roman"/>
        </w:rPr>
        <w:t xml:space="preserve"> explanation, the PMG transformed vocabulary learning into a meaningful interaction with peers, images, and the linguistic environment. This demonstrates that pedagogical innovation does not require digital technology or expensive resources—it requires designs that acknowledge how learners think, feel, and socially interact.</w:t>
      </w:r>
    </w:p>
    <w:p w14:paraId="7BB5AFF9" w14:textId="77777777" w:rsidR="00787FC2" w:rsidRPr="007C6B78" w:rsidRDefault="00DE55B1" w:rsidP="007C6B78">
      <w:pPr>
        <w:pStyle w:val="Heading1"/>
        <w:spacing w:line="360" w:lineRule="auto"/>
        <w:contextualSpacing/>
        <w:rPr>
          <w:rStyle w:val="Strong"/>
          <w:b/>
          <w:bCs/>
          <w:sz w:val="24"/>
          <w:szCs w:val="24"/>
        </w:rPr>
      </w:pPr>
      <w:r w:rsidRPr="007C6B78">
        <w:rPr>
          <w:rStyle w:val="Strong"/>
          <w:b/>
          <w:bCs/>
          <w:sz w:val="24"/>
          <w:szCs w:val="24"/>
        </w:rPr>
        <w:t>CONCLUSION</w:t>
      </w:r>
    </w:p>
    <w:p w14:paraId="47C78048" w14:textId="042CCD56" w:rsidR="00DE55B1" w:rsidRPr="007C6B78" w:rsidRDefault="00DE55B1" w:rsidP="007C6B78">
      <w:pPr>
        <w:pStyle w:val="Heading1"/>
        <w:spacing w:line="360" w:lineRule="auto"/>
        <w:ind w:firstLine="720"/>
        <w:contextualSpacing/>
        <w:jc w:val="both"/>
        <w:rPr>
          <w:b w:val="0"/>
          <w:sz w:val="24"/>
          <w:szCs w:val="24"/>
        </w:rPr>
      </w:pPr>
      <w:r w:rsidRPr="007C6B78">
        <w:rPr>
          <w:b w:val="0"/>
          <w:sz w:val="24"/>
          <w:szCs w:val="24"/>
        </w:rPr>
        <w:t>The Picture Matching Game effectively improved vocabulary mastery and increased learning motivation in an Indonesian EFL classroom. Students exceeded the minimum mastery criteria after Cycle II and demonstrated stronger confidence, willingness to participate, and reduced anxiety. PMG is therefore recommended for vocabulary instruction at secondary level.</w:t>
      </w:r>
    </w:p>
    <w:p w14:paraId="45CE02AE" w14:textId="77777777" w:rsidR="00787FC2" w:rsidRPr="007C6B78" w:rsidRDefault="00787FC2" w:rsidP="007C6B78">
      <w:pPr>
        <w:pStyle w:val="Heading1"/>
        <w:spacing w:line="360" w:lineRule="auto"/>
        <w:contextualSpacing/>
        <w:rPr>
          <w:b w:val="0"/>
          <w:sz w:val="24"/>
          <w:szCs w:val="24"/>
        </w:rPr>
      </w:pPr>
    </w:p>
    <w:p w14:paraId="74FDA4CF" w14:textId="4714A50C" w:rsidR="00DE55B1" w:rsidRPr="007C6B78" w:rsidRDefault="00DE55B1" w:rsidP="007C6B78">
      <w:pPr>
        <w:pStyle w:val="Heading1"/>
        <w:spacing w:line="360" w:lineRule="auto"/>
        <w:contextualSpacing/>
        <w:rPr>
          <w:sz w:val="24"/>
          <w:szCs w:val="24"/>
        </w:rPr>
      </w:pPr>
      <w:r w:rsidRPr="007C6B78">
        <w:rPr>
          <w:rStyle w:val="Strong"/>
          <w:b/>
          <w:bCs/>
          <w:sz w:val="24"/>
          <w:szCs w:val="24"/>
        </w:rPr>
        <w:t xml:space="preserve">REFERENCES </w:t>
      </w:r>
    </w:p>
    <w:p w14:paraId="41A8943B" w14:textId="77777777" w:rsidR="00DE55B1" w:rsidRPr="007C6B78" w:rsidRDefault="00DE55B1" w:rsidP="007C6B78">
      <w:pPr>
        <w:pStyle w:val="NormalWeb"/>
        <w:spacing w:line="360" w:lineRule="auto"/>
        <w:ind w:left="720" w:hanging="720"/>
        <w:contextualSpacing/>
        <w:jc w:val="both"/>
      </w:pPr>
      <w:proofErr w:type="spellStart"/>
      <w:r w:rsidRPr="007C6B78">
        <w:t>Adipat</w:t>
      </w:r>
      <w:proofErr w:type="spellEnd"/>
      <w:r w:rsidRPr="007C6B78">
        <w:t xml:space="preserve">, S., </w:t>
      </w:r>
      <w:proofErr w:type="spellStart"/>
      <w:r w:rsidRPr="007C6B78">
        <w:t>Laksana</w:t>
      </w:r>
      <w:proofErr w:type="spellEnd"/>
      <w:r w:rsidRPr="007C6B78">
        <w:t xml:space="preserve">, K., </w:t>
      </w:r>
      <w:proofErr w:type="spellStart"/>
      <w:r w:rsidRPr="007C6B78">
        <w:t>Busayanon</w:t>
      </w:r>
      <w:proofErr w:type="spellEnd"/>
      <w:r w:rsidRPr="007C6B78">
        <w:t xml:space="preserve">, K., </w:t>
      </w:r>
      <w:proofErr w:type="spellStart"/>
      <w:r w:rsidRPr="007C6B78">
        <w:t>Ausawasowan</w:t>
      </w:r>
      <w:proofErr w:type="spellEnd"/>
      <w:r w:rsidRPr="007C6B78">
        <w:t xml:space="preserve">, A., &amp; </w:t>
      </w:r>
      <w:proofErr w:type="spellStart"/>
      <w:r w:rsidRPr="007C6B78">
        <w:t>Adipat</w:t>
      </w:r>
      <w:proofErr w:type="spellEnd"/>
      <w:r w:rsidRPr="007C6B78">
        <w:t xml:space="preserve">, B. (2021). Engaging students in the learning process with game-based learning: The fundamental concepts. </w:t>
      </w:r>
      <w:r w:rsidRPr="007C6B78">
        <w:rPr>
          <w:rStyle w:val="Emphasis"/>
        </w:rPr>
        <w:t>International Journal of Technology in Education, 4</w:t>
      </w:r>
      <w:r w:rsidRPr="007C6B78">
        <w:t>(3), 542–552.</w:t>
      </w:r>
    </w:p>
    <w:p w14:paraId="7B4B7F29" w14:textId="10FE98C3" w:rsidR="00DE55B1" w:rsidRPr="007C6B78" w:rsidRDefault="00DE55B1" w:rsidP="007C6B78">
      <w:pPr>
        <w:pStyle w:val="NormalWeb"/>
        <w:spacing w:line="360" w:lineRule="auto"/>
        <w:ind w:left="720" w:hanging="720"/>
        <w:contextualSpacing/>
        <w:jc w:val="both"/>
      </w:pPr>
      <w:proofErr w:type="spellStart"/>
      <w:r w:rsidRPr="007C6B78">
        <w:t>Ahamad</w:t>
      </w:r>
      <w:proofErr w:type="spellEnd"/>
      <w:r w:rsidRPr="007C6B78">
        <w:t xml:space="preserve">, F., </w:t>
      </w:r>
      <w:proofErr w:type="spellStart"/>
      <w:r w:rsidRPr="007C6B78">
        <w:t>Sulaiman</w:t>
      </w:r>
      <w:proofErr w:type="spellEnd"/>
      <w:r w:rsidRPr="007C6B78">
        <w:t xml:space="preserve">, T., &amp; Yusof, Y. (2022). Effectiveness of cooperative learning model in improving students’ motivation and achievement in science education: A meta-analysis. </w:t>
      </w:r>
      <w:r w:rsidRPr="007C6B78">
        <w:rPr>
          <w:rStyle w:val="Emphasis"/>
        </w:rPr>
        <w:t>International Journal of Academic Research in Business and Social Sciences, 12</w:t>
      </w:r>
      <w:r w:rsidRPr="007C6B78">
        <w:t>(10), 452–</w:t>
      </w:r>
      <w:r w:rsidR="00FB61D5" w:rsidRPr="007C6B78">
        <w:tab/>
      </w:r>
      <w:r w:rsidRPr="007C6B78">
        <w:t>468.</w:t>
      </w:r>
    </w:p>
    <w:p w14:paraId="1A5A3F08" w14:textId="12372657" w:rsidR="00DE55B1" w:rsidRPr="007C6B78" w:rsidRDefault="00DE55B1" w:rsidP="007C6B78">
      <w:pPr>
        <w:pStyle w:val="NormalWeb"/>
        <w:spacing w:line="360" w:lineRule="auto"/>
        <w:ind w:left="720" w:hanging="720"/>
        <w:contextualSpacing/>
        <w:jc w:val="both"/>
      </w:pPr>
      <w:proofErr w:type="spellStart"/>
      <w:r w:rsidRPr="007C6B78">
        <w:t>Dewaele</w:t>
      </w:r>
      <w:proofErr w:type="spellEnd"/>
      <w:r w:rsidRPr="007C6B78">
        <w:t>, J. M., &amp; Li, C. C. (2021). Teacher enthusiasm and students’ social-</w:t>
      </w:r>
      <w:proofErr w:type="spellStart"/>
      <w:r w:rsidRPr="007C6B78">
        <w:t>behavioral</w:t>
      </w:r>
      <w:proofErr w:type="spellEnd"/>
      <w:r w:rsidRPr="007C6B78">
        <w:t xml:space="preserve"> learning engagement: The mediating role of student enjoyment and boredom in Chinese EFL </w:t>
      </w:r>
      <w:r w:rsidR="00FB61D5" w:rsidRPr="007C6B78">
        <w:tab/>
      </w:r>
      <w:r w:rsidRPr="007C6B78">
        <w:t xml:space="preserve">classes. </w:t>
      </w:r>
      <w:r w:rsidRPr="007C6B78">
        <w:rPr>
          <w:rStyle w:val="Emphasis"/>
        </w:rPr>
        <w:t>Language Teaching Research, 25</w:t>
      </w:r>
      <w:r w:rsidRPr="007C6B78">
        <w:t>(5), 922–945.</w:t>
      </w:r>
    </w:p>
    <w:p w14:paraId="1330E88E" w14:textId="68C6A59B" w:rsidR="00DE55B1" w:rsidRPr="007C6B78" w:rsidRDefault="00DE55B1" w:rsidP="007C6B78">
      <w:pPr>
        <w:pStyle w:val="NormalWeb"/>
        <w:spacing w:line="360" w:lineRule="auto"/>
        <w:contextualSpacing/>
        <w:jc w:val="both"/>
      </w:pPr>
      <w:r w:rsidRPr="007C6B78">
        <w:t xml:space="preserve">Gee, J. P. (2003). </w:t>
      </w:r>
      <w:r w:rsidRPr="007C6B78">
        <w:rPr>
          <w:rStyle w:val="Emphasis"/>
        </w:rPr>
        <w:t>What video games have to teach us about learning and literacy.</w:t>
      </w:r>
      <w:r w:rsidRPr="007C6B78">
        <w:t xml:space="preserve"> Palgrave </w:t>
      </w:r>
      <w:r w:rsidR="00FB61D5" w:rsidRPr="007C6B78">
        <w:tab/>
      </w:r>
      <w:r w:rsidRPr="007C6B78">
        <w:t>Macmillan.</w:t>
      </w:r>
    </w:p>
    <w:p w14:paraId="56565079" w14:textId="77777777" w:rsidR="00DE55B1" w:rsidRPr="007C6B78" w:rsidRDefault="00DE55B1" w:rsidP="007C6B78">
      <w:pPr>
        <w:pStyle w:val="NormalWeb"/>
        <w:spacing w:line="360" w:lineRule="auto"/>
        <w:ind w:left="720" w:hanging="720"/>
        <w:contextualSpacing/>
        <w:jc w:val="both"/>
      </w:pPr>
      <w:proofErr w:type="spellStart"/>
      <w:r w:rsidRPr="007C6B78">
        <w:t>Hornay</w:t>
      </w:r>
      <w:proofErr w:type="spellEnd"/>
      <w:r w:rsidRPr="007C6B78">
        <w:t xml:space="preserve">, P. M. A., </w:t>
      </w:r>
      <w:proofErr w:type="spellStart"/>
      <w:r w:rsidRPr="007C6B78">
        <w:t>Talok</w:t>
      </w:r>
      <w:proofErr w:type="spellEnd"/>
      <w:r w:rsidRPr="007C6B78">
        <w:t xml:space="preserve">, D., &amp; </w:t>
      </w:r>
      <w:proofErr w:type="spellStart"/>
      <w:r w:rsidRPr="007C6B78">
        <w:t>Erom</w:t>
      </w:r>
      <w:proofErr w:type="spellEnd"/>
      <w:r w:rsidRPr="007C6B78">
        <w:t xml:space="preserve">, K. (2024). Bridging the gap: Aligning teachers’ pedagogical beliefs with learners’ preferences of English language learning in the adaptive learning era. </w:t>
      </w:r>
      <w:proofErr w:type="spellStart"/>
      <w:r w:rsidRPr="007C6B78">
        <w:rPr>
          <w:rStyle w:val="Emphasis"/>
        </w:rPr>
        <w:t>Jurnal</w:t>
      </w:r>
      <w:proofErr w:type="spellEnd"/>
      <w:r w:rsidRPr="007C6B78">
        <w:rPr>
          <w:rStyle w:val="Emphasis"/>
        </w:rPr>
        <w:t xml:space="preserve"> </w:t>
      </w:r>
      <w:proofErr w:type="spellStart"/>
      <w:r w:rsidRPr="007C6B78">
        <w:rPr>
          <w:rStyle w:val="Emphasis"/>
        </w:rPr>
        <w:t>Paedagogy</w:t>
      </w:r>
      <w:proofErr w:type="spellEnd"/>
      <w:r w:rsidRPr="007C6B78">
        <w:rPr>
          <w:rStyle w:val="Emphasis"/>
        </w:rPr>
        <w:t>, 11</w:t>
      </w:r>
      <w:r w:rsidRPr="007C6B78">
        <w:t>(3), 483–495.</w:t>
      </w:r>
    </w:p>
    <w:p w14:paraId="485A1756" w14:textId="27CC0885" w:rsidR="00DE55B1" w:rsidRPr="007C6B78" w:rsidRDefault="00DE55B1" w:rsidP="007C6B78">
      <w:pPr>
        <w:pStyle w:val="NormalWeb"/>
        <w:spacing w:line="360" w:lineRule="auto"/>
        <w:ind w:left="720" w:hanging="720"/>
        <w:contextualSpacing/>
        <w:jc w:val="both"/>
      </w:pPr>
      <w:proofErr w:type="spellStart"/>
      <w:r w:rsidRPr="007C6B78">
        <w:t>Hornay</w:t>
      </w:r>
      <w:proofErr w:type="spellEnd"/>
      <w:r w:rsidRPr="007C6B78">
        <w:t xml:space="preserve">, P. M. A., &amp; </w:t>
      </w:r>
      <w:proofErr w:type="spellStart"/>
      <w:r w:rsidRPr="007C6B78">
        <w:t>Lomi</w:t>
      </w:r>
      <w:proofErr w:type="spellEnd"/>
      <w:r w:rsidRPr="007C6B78">
        <w:t xml:space="preserve">, A. N. K. (2024). Unravelling self-efficacy in online discussion and </w:t>
      </w:r>
      <w:r w:rsidR="00FB61D5" w:rsidRPr="007C6B78">
        <w:tab/>
      </w:r>
      <w:r w:rsidRPr="007C6B78">
        <w:t xml:space="preserve">presentation: Insights from English education students in </w:t>
      </w:r>
      <w:proofErr w:type="spellStart"/>
      <w:r w:rsidRPr="007C6B78">
        <w:t>Kupang</w:t>
      </w:r>
      <w:proofErr w:type="spellEnd"/>
      <w:r w:rsidRPr="007C6B78">
        <w:t xml:space="preserve">, Indonesia. </w:t>
      </w:r>
      <w:r w:rsidRPr="007C6B78">
        <w:rPr>
          <w:rStyle w:val="Emphasis"/>
        </w:rPr>
        <w:t>International Journal of English Linguistics, Literature, and Education, 6</w:t>
      </w:r>
      <w:r w:rsidRPr="007C6B78">
        <w:t xml:space="preserve">(1), 1–15. </w:t>
      </w:r>
      <w:hyperlink r:id="rId10" w:tgtFrame="_new" w:history="1">
        <w:r w:rsidRPr="007C6B78">
          <w:rPr>
            <w:rStyle w:val="Hyperlink"/>
            <w:rFonts w:eastAsiaTheme="majorEastAsia"/>
          </w:rPr>
          <w:t>https://doi.org/10.32585/ijelle.v6i1.4446</w:t>
        </w:r>
      </w:hyperlink>
    </w:p>
    <w:p w14:paraId="433E0EDD" w14:textId="77777777" w:rsidR="00DE55B1" w:rsidRPr="007C6B78" w:rsidRDefault="00DE55B1" w:rsidP="007C6B78">
      <w:pPr>
        <w:pStyle w:val="NormalWeb"/>
        <w:spacing w:line="360" w:lineRule="auto"/>
        <w:contextualSpacing/>
        <w:jc w:val="both"/>
      </w:pPr>
      <w:proofErr w:type="spellStart"/>
      <w:r w:rsidRPr="007C6B78">
        <w:lastRenderedPageBreak/>
        <w:t>Kemmis</w:t>
      </w:r>
      <w:proofErr w:type="spellEnd"/>
      <w:r w:rsidRPr="007C6B78">
        <w:t xml:space="preserve">, S., &amp; McTaggart, R. (1988). </w:t>
      </w:r>
      <w:r w:rsidRPr="007C6B78">
        <w:rPr>
          <w:rStyle w:val="Emphasis"/>
        </w:rPr>
        <w:t>The action research planner.</w:t>
      </w:r>
      <w:r w:rsidRPr="007C6B78">
        <w:t xml:space="preserve"> Deakin University.</w:t>
      </w:r>
    </w:p>
    <w:p w14:paraId="3ECD1F35" w14:textId="77777777" w:rsidR="00DE55B1" w:rsidRPr="007C6B78" w:rsidRDefault="00DE55B1" w:rsidP="007C6B78">
      <w:pPr>
        <w:pStyle w:val="NormalWeb"/>
        <w:spacing w:line="360" w:lineRule="auto"/>
        <w:ind w:left="720" w:hanging="720"/>
        <w:contextualSpacing/>
        <w:jc w:val="both"/>
      </w:pPr>
      <w:r w:rsidRPr="007C6B78">
        <w:t>Kirkpatrick, A., &amp; Schaller-</w:t>
      </w:r>
      <w:proofErr w:type="spellStart"/>
      <w:r w:rsidRPr="007C6B78">
        <w:t>Schwaner</w:t>
      </w:r>
      <w:proofErr w:type="spellEnd"/>
      <w:r w:rsidRPr="007C6B78">
        <w:t xml:space="preserve">, I. (2022). English as a lingua franca. In E. </w:t>
      </w:r>
      <w:proofErr w:type="spellStart"/>
      <w:r w:rsidRPr="007C6B78">
        <w:t>Hinkel</w:t>
      </w:r>
      <w:proofErr w:type="spellEnd"/>
      <w:r w:rsidRPr="007C6B78">
        <w:t xml:space="preserve"> (Ed.), </w:t>
      </w:r>
      <w:r w:rsidRPr="007C6B78">
        <w:rPr>
          <w:rStyle w:val="Emphasis"/>
        </w:rPr>
        <w:t>Handbook of Practical Second Language Teaching and Learning</w:t>
      </w:r>
      <w:r w:rsidRPr="007C6B78">
        <w:t xml:space="preserve"> (pp. 115–130).</w:t>
      </w:r>
    </w:p>
    <w:p w14:paraId="5E3315CF" w14:textId="596FAEA8" w:rsidR="00DE55B1" w:rsidRPr="007C6B78" w:rsidRDefault="00DE55B1" w:rsidP="007C6B78">
      <w:pPr>
        <w:pStyle w:val="NormalWeb"/>
        <w:spacing w:line="360" w:lineRule="auto"/>
        <w:contextualSpacing/>
        <w:jc w:val="both"/>
      </w:pPr>
      <w:r w:rsidRPr="007C6B78">
        <w:t xml:space="preserve">Lestari, M., &amp; </w:t>
      </w:r>
      <w:proofErr w:type="spellStart"/>
      <w:r w:rsidRPr="007C6B78">
        <w:t>Wahyudin</w:t>
      </w:r>
      <w:proofErr w:type="spellEnd"/>
      <w:r w:rsidRPr="007C6B78">
        <w:t xml:space="preserve">, A. Y. (2020). Language learning strategies of undergraduate EFL </w:t>
      </w:r>
      <w:r w:rsidR="00FB61D5" w:rsidRPr="007C6B78">
        <w:tab/>
      </w:r>
      <w:r w:rsidRPr="007C6B78">
        <w:t xml:space="preserve">students. </w:t>
      </w:r>
      <w:r w:rsidRPr="007C6B78">
        <w:rPr>
          <w:rStyle w:val="Emphasis"/>
        </w:rPr>
        <w:t>Journal of English Language Teaching and Learning, 1</w:t>
      </w:r>
      <w:r w:rsidRPr="007C6B78">
        <w:t>(1), 25–30.</w:t>
      </w:r>
    </w:p>
    <w:p w14:paraId="68D89311" w14:textId="77777777" w:rsidR="00DE55B1" w:rsidRPr="007C6B78" w:rsidRDefault="00DE55B1" w:rsidP="007C6B78">
      <w:pPr>
        <w:pStyle w:val="NormalWeb"/>
        <w:spacing w:line="360" w:lineRule="auto"/>
        <w:ind w:left="720" w:hanging="720"/>
        <w:contextualSpacing/>
        <w:jc w:val="both"/>
      </w:pPr>
      <w:proofErr w:type="spellStart"/>
      <w:r w:rsidRPr="007C6B78">
        <w:t>Liunokas</w:t>
      </w:r>
      <w:proofErr w:type="spellEnd"/>
      <w:r w:rsidRPr="007C6B78">
        <w:t xml:space="preserve">, O. B. T., </w:t>
      </w:r>
      <w:proofErr w:type="spellStart"/>
      <w:r w:rsidRPr="007C6B78">
        <w:t>Sila</w:t>
      </w:r>
      <w:proofErr w:type="spellEnd"/>
      <w:r w:rsidRPr="007C6B78">
        <w:t xml:space="preserve">, O., </w:t>
      </w:r>
      <w:proofErr w:type="spellStart"/>
      <w:r w:rsidRPr="007C6B78">
        <w:t>Landi</w:t>
      </w:r>
      <w:proofErr w:type="spellEnd"/>
      <w:r w:rsidRPr="007C6B78">
        <w:t xml:space="preserve">, M., &amp; </w:t>
      </w:r>
      <w:proofErr w:type="spellStart"/>
      <w:r w:rsidRPr="007C6B78">
        <w:t>Maryati</w:t>
      </w:r>
      <w:proofErr w:type="spellEnd"/>
      <w:r w:rsidRPr="007C6B78">
        <w:t xml:space="preserve">, T. (2023). Case study and evaluation of East Sumba Covid-19 self-isolation sufferers. </w:t>
      </w:r>
      <w:proofErr w:type="spellStart"/>
      <w:r w:rsidRPr="007C6B78">
        <w:rPr>
          <w:rStyle w:val="Emphasis"/>
        </w:rPr>
        <w:t>Jurnal</w:t>
      </w:r>
      <w:proofErr w:type="spellEnd"/>
      <w:r w:rsidRPr="007C6B78">
        <w:rPr>
          <w:rStyle w:val="Emphasis"/>
        </w:rPr>
        <w:t xml:space="preserve"> </w:t>
      </w:r>
      <w:proofErr w:type="spellStart"/>
      <w:r w:rsidRPr="007C6B78">
        <w:rPr>
          <w:rStyle w:val="Emphasis"/>
        </w:rPr>
        <w:t>Penelitian</w:t>
      </w:r>
      <w:proofErr w:type="spellEnd"/>
      <w:r w:rsidRPr="007C6B78">
        <w:rPr>
          <w:rStyle w:val="Emphasis"/>
        </w:rPr>
        <w:t xml:space="preserve"> Pendidikan IPA, 9</w:t>
      </w:r>
      <w:r w:rsidRPr="007C6B78">
        <w:t>(Special Issue), 554–562.</w:t>
      </w:r>
    </w:p>
    <w:p w14:paraId="578EF074" w14:textId="77777777" w:rsidR="00DE55B1" w:rsidRPr="007C6B78" w:rsidRDefault="00DE55B1" w:rsidP="007C6B78">
      <w:pPr>
        <w:pStyle w:val="NormalWeb"/>
        <w:spacing w:line="360" w:lineRule="auto"/>
        <w:contextualSpacing/>
        <w:jc w:val="both"/>
      </w:pPr>
      <w:r w:rsidRPr="007C6B78">
        <w:t xml:space="preserve">Nation, I. S. P. (2001). </w:t>
      </w:r>
      <w:r w:rsidRPr="007C6B78">
        <w:rPr>
          <w:rStyle w:val="Emphasis"/>
        </w:rPr>
        <w:t>Learning vocabulary in another language.</w:t>
      </w:r>
      <w:r w:rsidRPr="007C6B78">
        <w:t xml:space="preserve"> Cambridge University Press.</w:t>
      </w:r>
    </w:p>
    <w:p w14:paraId="21AB86F5" w14:textId="77777777" w:rsidR="00DE55B1" w:rsidRPr="007C6B78" w:rsidRDefault="00DE55B1" w:rsidP="007C6B78">
      <w:pPr>
        <w:pStyle w:val="NormalWeb"/>
        <w:spacing w:line="360" w:lineRule="auto"/>
        <w:contextualSpacing/>
        <w:jc w:val="both"/>
      </w:pPr>
      <w:proofErr w:type="spellStart"/>
      <w:r w:rsidRPr="007C6B78">
        <w:t>Paivio</w:t>
      </w:r>
      <w:proofErr w:type="spellEnd"/>
      <w:r w:rsidRPr="007C6B78">
        <w:t xml:space="preserve">, A. (1986). </w:t>
      </w:r>
      <w:r w:rsidRPr="007C6B78">
        <w:rPr>
          <w:rStyle w:val="Emphasis"/>
        </w:rPr>
        <w:t>Mental representations: A dual coding approach.</w:t>
      </w:r>
      <w:r w:rsidRPr="007C6B78">
        <w:t xml:space="preserve"> Oxford University Press.</w:t>
      </w:r>
    </w:p>
    <w:p w14:paraId="4C651F4C" w14:textId="77777777" w:rsidR="00DE55B1" w:rsidRPr="007C6B78" w:rsidRDefault="00DE55B1" w:rsidP="007C6B78">
      <w:pPr>
        <w:pStyle w:val="NormalWeb"/>
        <w:spacing w:line="360" w:lineRule="auto"/>
        <w:contextualSpacing/>
        <w:jc w:val="both"/>
      </w:pPr>
      <w:proofErr w:type="spellStart"/>
      <w:r w:rsidRPr="007C6B78">
        <w:t>Prensky</w:t>
      </w:r>
      <w:proofErr w:type="spellEnd"/>
      <w:r w:rsidRPr="007C6B78">
        <w:t xml:space="preserve">, M. (2001). </w:t>
      </w:r>
      <w:r w:rsidRPr="007C6B78">
        <w:rPr>
          <w:rStyle w:val="Emphasis"/>
        </w:rPr>
        <w:t>Digital game-based learning.</w:t>
      </w:r>
      <w:r w:rsidRPr="007C6B78">
        <w:t xml:space="preserve"> McGraw-Hill.</w:t>
      </w:r>
    </w:p>
    <w:p w14:paraId="5E6E8C96" w14:textId="77777777" w:rsidR="00DE55B1" w:rsidRPr="007C6B78" w:rsidRDefault="00DE55B1" w:rsidP="007C6B78">
      <w:pPr>
        <w:pStyle w:val="NormalWeb"/>
        <w:spacing w:line="360" w:lineRule="auto"/>
        <w:ind w:left="720" w:hanging="720"/>
        <w:contextualSpacing/>
        <w:jc w:val="both"/>
      </w:pPr>
      <w:r w:rsidRPr="007C6B78">
        <w:t xml:space="preserve">Rao, P. S. (2019). The importance of speaking skills in English classrooms. </w:t>
      </w:r>
      <w:r w:rsidRPr="007C6B78">
        <w:rPr>
          <w:rStyle w:val="Emphasis"/>
        </w:rPr>
        <w:t>ACIELJ, 2</w:t>
      </w:r>
      <w:r w:rsidRPr="007C6B78">
        <w:t>(1), 6–18.</w:t>
      </w:r>
    </w:p>
    <w:p w14:paraId="5214387F" w14:textId="77777777" w:rsidR="00DE55B1" w:rsidRPr="007C6B78" w:rsidRDefault="00DE55B1" w:rsidP="007C6B78">
      <w:pPr>
        <w:pStyle w:val="NormalWeb"/>
        <w:spacing w:line="360" w:lineRule="auto"/>
        <w:contextualSpacing/>
        <w:jc w:val="both"/>
      </w:pPr>
      <w:r w:rsidRPr="007C6B78">
        <w:t xml:space="preserve">Schmitt, N. (2000). </w:t>
      </w:r>
      <w:r w:rsidRPr="007C6B78">
        <w:rPr>
          <w:rStyle w:val="Emphasis"/>
        </w:rPr>
        <w:t>Vocabulary in language teaching.</w:t>
      </w:r>
      <w:r w:rsidRPr="007C6B78">
        <w:t xml:space="preserve"> Cambridge University Press.</w:t>
      </w:r>
    </w:p>
    <w:p w14:paraId="6CC85074" w14:textId="77777777" w:rsidR="00DE55B1" w:rsidRPr="007C6B78" w:rsidRDefault="00DE55B1" w:rsidP="007C6B78">
      <w:pPr>
        <w:pStyle w:val="NormalWeb"/>
        <w:spacing w:line="360" w:lineRule="auto"/>
        <w:contextualSpacing/>
        <w:jc w:val="both"/>
      </w:pPr>
      <w:r w:rsidRPr="007C6B78">
        <w:t xml:space="preserve">Thornbury, S. (2002). </w:t>
      </w:r>
      <w:r w:rsidRPr="007C6B78">
        <w:rPr>
          <w:rStyle w:val="Emphasis"/>
        </w:rPr>
        <w:t>How to teach vocabulary.</w:t>
      </w:r>
      <w:r w:rsidRPr="007C6B78">
        <w:t xml:space="preserve"> Pearson Education.</w:t>
      </w:r>
    </w:p>
    <w:p w14:paraId="5BC356B1" w14:textId="77777777" w:rsidR="00DE55B1" w:rsidRPr="007C6B78" w:rsidRDefault="00DE55B1" w:rsidP="007C6B78">
      <w:pPr>
        <w:pStyle w:val="NormalWeb"/>
        <w:spacing w:line="360" w:lineRule="auto"/>
        <w:contextualSpacing/>
        <w:jc w:val="both"/>
      </w:pPr>
      <w:r w:rsidRPr="007C6B78">
        <w:t xml:space="preserve">Wilkins, D. A. (1972). </w:t>
      </w:r>
      <w:r w:rsidRPr="007C6B78">
        <w:rPr>
          <w:rStyle w:val="Emphasis"/>
        </w:rPr>
        <w:t>Linguistics in language teaching.</w:t>
      </w:r>
      <w:r w:rsidRPr="007C6B78">
        <w:t xml:space="preserve"> Edward Arnold.</w:t>
      </w:r>
    </w:p>
    <w:p w14:paraId="57F482FB" w14:textId="77777777" w:rsidR="00EF18DF" w:rsidRPr="007C6B78" w:rsidRDefault="00EF18DF" w:rsidP="007C6B78">
      <w:pPr>
        <w:spacing w:line="360" w:lineRule="auto"/>
        <w:contextualSpacing/>
        <w:jc w:val="both"/>
        <w:rPr>
          <w:rFonts w:ascii="Times New Roman" w:hAnsi="Times New Roman" w:cs="Times New Roman"/>
        </w:rPr>
      </w:pPr>
    </w:p>
    <w:sectPr w:rsidR="00EF18DF" w:rsidRPr="007C6B78" w:rsidSect="00FF6DC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919B3"/>
    <w:multiLevelType w:val="multilevel"/>
    <w:tmpl w:val="195EB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8DF"/>
    <w:rsid w:val="00204B5A"/>
    <w:rsid w:val="00252168"/>
    <w:rsid w:val="002E6A9D"/>
    <w:rsid w:val="004206F7"/>
    <w:rsid w:val="00516E03"/>
    <w:rsid w:val="006430B8"/>
    <w:rsid w:val="00787FC2"/>
    <w:rsid w:val="007C6B78"/>
    <w:rsid w:val="008A57D5"/>
    <w:rsid w:val="00BD231F"/>
    <w:rsid w:val="00D60BCA"/>
    <w:rsid w:val="00DD35F0"/>
    <w:rsid w:val="00DE55B1"/>
    <w:rsid w:val="00E938E7"/>
    <w:rsid w:val="00EF18DF"/>
    <w:rsid w:val="00FB61D5"/>
    <w:rsid w:val="00FF6DC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4956F"/>
  <w15:chartTrackingRefBased/>
  <w15:docId w15:val="{16EEC8EF-0DED-094D-A08F-F6B03D435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F18D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F18D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F18D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8D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F18DF"/>
    <w:rPr>
      <w:rFonts w:ascii="Times New Roman" w:eastAsia="Times New Roman" w:hAnsi="Times New Roman" w:cs="Times New Roman"/>
      <w:b/>
      <w:bCs/>
      <w:sz w:val="36"/>
      <w:szCs w:val="36"/>
    </w:rPr>
  </w:style>
  <w:style w:type="character" w:styleId="Strong">
    <w:name w:val="Strong"/>
    <w:basedOn w:val="DefaultParagraphFont"/>
    <w:uiPriority w:val="22"/>
    <w:qFormat/>
    <w:rsid w:val="00EF18DF"/>
    <w:rPr>
      <w:b/>
      <w:bCs/>
    </w:rPr>
  </w:style>
  <w:style w:type="paragraph" w:styleId="NormalWeb">
    <w:name w:val="Normal (Web)"/>
    <w:basedOn w:val="Normal"/>
    <w:uiPriority w:val="99"/>
    <w:unhideWhenUsed/>
    <w:rsid w:val="00EF18DF"/>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F18DF"/>
    <w:rPr>
      <w:i/>
      <w:iCs/>
    </w:rPr>
  </w:style>
  <w:style w:type="character" w:customStyle="1" w:styleId="Heading3Char">
    <w:name w:val="Heading 3 Char"/>
    <w:basedOn w:val="DefaultParagraphFont"/>
    <w:link w:val="Heading3"/>
    <w:uiPriority w:val="9"/>
    <w:semiHidden/>
    <w:rsid w:val="00EF18DF"/>
    <w:rPr>
      <w:rFonts w:asciiTheme="majorHAnsi" w:eastAsiaTheme="majorEastAsia" w:hAnsiTheme="majorHAnsi" w:cstheme="majorBidi"/>
      <w:color w:val="1F3763" w:themeColor="accent1" w:themeShade="7F"/>
    </w:rPr>
  </w:style>
  <w:style w:type="paragraph" w:styleId="HTMLPreformatted">
    <w:name w:val="HTML Preformatted"/>
    <w:basedOn w:val="Normal"/>
    <w:link w:val="HTMLPreformattedChar"/>
    <w:uiPriority w:val="99"/>
    <w:unhideWhenUsed/>
    <w:rsid w:val="00EF1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F18DF"/>
    <w:rPr>
      <w:rFonts w:ascii="Courier New" w:eastAsia="Times New Roman" w:hAnsi="Courier New" w:cs="Courier New"/>
      <w:sz w:val="20"/>
      <w:szCs w:val="20"/>
    </w:rPr>
  </w:style>
  <w:style w:type="character" w:styleId="HTMLCode">
    <w:name w:val="HTML Code"/>
    <w:basedOn w:val="DefaultParagraphFont"/>
    <w:uiPriority w:val="99"/>
    <w:semiHidden/>
    <w:unhideWhenUsed/>
    <w:rsid w:val="00EF18DF"/>
    <w:rPr>
      <w:rFonts w:ascii="Courier New" w:eastAsia="Times New Roman" w:hAnsi="Courier New" w:cs="Courier New"/>
      <w:sz w:val="20"/>
      <w:szCs w:val="20"/>
    </w:rPr>
  </w:style>
  <w:style w:type="character" w:customStyle="1" w:styleId="hljs-operator">
    <w:name w:val="hljs-operator"/>
    <w:basedOn w:val="DefaultParagraphFont"/>
    <w:rsid w:val="00EF18DF"/>
  </w:style>
  <w:style w:type="character" w:customStyle="1" w:styleId="hljs-keyword">
    <w:name w:val="hljs-keyword"/>
    <w:basedOn w:val="DefaultParagraphFont"/>
    <w:rsid w:val="00EF18DF"/>
  </w:style>
  <w:style w:type="character" w:customStyle="1" w:styleId="hljs-number">
    <w:name w:val="hljs-number"/>
    <w:basedOn w:val="DefaultParagraphFont"/>
    <w:rsid w:val="00EF18DF"/>
  </w:style>
  <w:style w:type="table" w:styleId="TableGrid">
    <w:name w:val="Table Grid"/>
    <w:basedOn w:val="TableNormal"/>
    <w:uiPriority w:val="39"/>
    <w:rsid w:val="00DE5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55B1"/>
    <w:rPr>
      <w:color w:val="0000FF"/>
      <w:u w:val="single"/>
    </w:rPr>
  </w:style>
  <w:style w:type="character" w:styleId="UnresolvedMention">
    <w:name w:val="Unresolved Mention"/>
    <w:basedOn w:val="DefaultParagraphFont"/>
    <w:uiPriority w:val="99"/>
    <w:semiHidden/>
    <w:unhideWhenUsed/>
    <w:rsid w:val="00787F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38904">
      <w:bodyDiv w:val="1"/>
      <w:marLeft w:val="0"/>
      <w:marRight w:val="0"/>
      <w:marTop w:val="0"/>
      <w:marBottom w:val="0"/>
      <w:divBdr>
        <w:top w:val="none" w:sz="0" w:space="0" w:color="auto"/>
        <w:left w:val="none" w:sz="0" w:space="0" w:color="auto"/>
        <w:bottom w:val="none" w:sz="0" w:space="0" w:color="auto"/>
        <w:right w:val="none" w:sz="0" w:space="0" w:color="auto"/>
      </w:divBdr>
    </w:div>
    <w:div w:id="832256117">
      <w:bodyDiv w:val="1"/>
      <w:marLeft w:val="0"/>
      <w:marRight w:val="0"/>
      <w:marTop w:val="0"/>
      <w:marBottom w:val="0"/>
      <w:divBdr>
        <w:top w:val="none" w:sz="0" w:space="0" w:color="auto"/>
        <w:left w:val="none" w:sz="0" w:space="0" w:color="auto"/>
        <w:bottom w:val="none" w:sz="0" w:space="0" w:color="auto"/>
        <w:right w:val="none" w:sz="0" w:space="0" w:color="auto"/>
      </w:divBdr>
      <w:divsChild>
        <w:div w:id="154884372">
          <w:marLeft w:val="0"/>
          <w:marRight w:val="0"/>
          <w:marTop w:val="0"/>
          <w:marBottom w:val="0"/>
          <w:divBdr>
            <w:top w:val="none" w:sz="0" w:space="0" w:color="auto"/>
            <w:left w:val="none" w:sz="0" w:space="0" w:color="auto"/>
            <w:bottom w:val="none" w:sz="0" w:space="0" w:color="auto"/>
            <w:right w:val="none" w:sz="0" w:space="0" w:color="auto"/>
          </w:divBdr>
          <w:divsChild>
            <w:div w:id="1765345538">
              <w:marLeft w:val="0"/>
              <w:marRight w:val="0"/>
              <w:marTop w:val="0"/>
              <w:marBottom w:val="0"/>
              <w:divBdr>
                <w:top w:val="none" w:sz="0" w:space="0" w:color="auto"/>
                <w:left w:val="none" w:sz="0" w:space="0" w:color="auto"/>
                <w:bottom w:val="none" w:sz="0" w:space="0" w:color="auto"/>
                <w:right w:val="none" w:sz="0" w:space="0" w:color="auto"/>
              </w:divBdr>
            </w:div>
          </w:divsChild>
        </w:div>
        <w:div w:id="1381049461">
          <w:marLeft w:val="0"/>
          <w:marRight w:val="0"/>
          <w:marTop w:val="0"/>
          <w:marBottom w:val="0"/>
          <w:divBdr>
            <w:top w:val="none" w:sz="0" w:space="0" w:color="auto"/>
            <w:left w:val="none" w:sz="0" w:space="0" w:color="auto"/>
            <w:bottom w:val="none" w:sz="0" w:space="0" w:color="auto"/>
            <w:right w:val="none" w:sz="0" w:space="0" w:color="auto"/>
          </w:divBdr>
          <w:divsChild>
            <w:div w:id="1808889246">
              <w:marLeft w:val="0"/>
              <w:marRight w:val="0"/>
              <w:marTop w:val="0"/>
              <w:marBottom w:val="0"/>
              <w:divBdr>
                <w:top w:val="none" w:sz="0" w:space="0" w:color="auto"/>
                <w:left w:val="none" w:sz="0" w:space="0" w:color="auto"/>
                <w:bottom w:val="none" w:sz="0" w:space="0" w:color="auto"/>
                <w:right w:val="none" w:sz="0" w:space="0" w:color="auto"/>
              </w:divBdr>
            </w:div>
          </w:divsChild>
        </w:div>
        <w:div w:id="1783181725">
          <w:marLeft w:val="0"/>
          <w:marRight w:val="0"/>
          <w:marTop w:val="0"/>
          <w:marBottom w:val="0"/>
          <w:divBdr>
            <w:top w:val="none" w:sz="0" w:space="0" w:color="auto"/>
            <w:left w:val="none" w:sz="0" w:space="0" w:color="auto"/>
            <w:bottom w:val="none" w:sz="0" w:space="0" w:color="auto"/>
            <w:right w:val="none" w:sz="0" w:space="0" w:color="auto"/>
          </w:divBdr>
          <w:divsChild>
            <w:div w:id="94103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3560">
      <w:bodyDiv w:val="1"/>
      <w:marLeft w:val="0"/>
      <w:marRight w:val="0"/>
      <w:marTop w:val="0"/>
      <w:marBottom w:val="0"/>
      <w:divBdr>
        <w:top w:val="none" w:sz="0" w:space="0" w:color="auto"/>
        <w:left w:val="none" w:sz="0" w:space="0" w:color="auto"/>
        <w:bottom w:val="none" w:sz="0" w:space="0" w:color="auto"/>
        <w:right w:val="none" w:sz="0" w:space="0" w:color="auto"/>
      </w:divBdr>
    </w:div>
    <w:div w:id="1235356309">
      <w:bodyDiv w:val="1"/>
      <w:marLeft w:val="0"/>
      <w:marRight w:val="0"/>
      <w:marTop w:val="0"/>
      <w:marBottom w:val="0"/>
      <w:divBdr>
        <w:top w:val="none" w:sz="0" w:space="0" w:color="auto"/>
        <w:left w:val="none" w:sz="0" w:space="0" w:color="auto"/>
        <w:bottom w:val="none" w:sz="0" w:space="0" w:color="auto"/>
        <w:right w:val="none" w:sz="0" w:space="0" w:color="auto"/>
      </w:divBdr>
    </w:div>
    <w:div w:id="1621841099">
      <w:bodyDiv w:val="1"/>
      <w:marLeft w:val="0"/>
      <w:marRight w:val="0"/>
      <w:marTop w:val="0"/>
      <w:marBottom w:val="0"/>
      <w:divBdr>
        <w:top w:val="none" w:sz="0" w:space="0" w:color="auto"/>
        <w:left w:val="none" w:sz="0" w:space="0" w:color="auto"/>
        <w:bottom w:val="none" w:sz="0" w:space="0" w:color="auto"/>
        <w:right w:val="none" w:sz="0" w:space="0" w:color="auto"/>
      </w:divBdr>
    </w:div>
    <w:div w:id="1725832021">
      <w:bodyDiv w:val="1"/>
      <w:marLeft w:val="0"/>
      <w:marRight w:val="0"/>
      <w:marTop w:val="0"/>
      <w:marBottom w:val="0"/>
      <w:divBdr>
        <w:top w:val="none" w:sz="0" w:space="0" w:color="auto"/>
        <w:left w:val="none" w:sz="0" w:space="0" w:color="auto"/>
        <w:bottom w:val="none" w:sz="0" w:space="0" w:color="auto"/>
        <w:right w:val="none" w:sz="0" w:space="0" w:color="auto"/>
      </w:divBdr>
    </w:div>
    <w:div w:id="204775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ntTable" Target="fontTable.xml"/><Relationship Id="rId5" Type="http://schemas.openxmlformats.org/officeDocument/2006/relationships/diagramData" Target="diagrams/data1.xml"/><Relationship Id="rId10" Type="http://schemas.openxmlformats.org/officeDocument/2006/relationships/hyperlink" Target="https://doi.org/10.32585/ijelle.v6i1.4446" TargetMode="Externa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76C5F28-C328-F04D-8C3B-C4B36D56C7C8}" type="doc">
      <dgm:prSet loTypeId="urn:microsoft.com/office/officeart/2005/8/layout/process1" loCatId="" qsTypeId="urn:microsoft.com/office/officeart/2005/8/quickstyle/3d3" qsCatId="3D" csTypeId="urn:microsoft.com/office/officeart/2005/8/colors/accent0_1" csCatId="mainScheme" phldr="1"/>
      <dgm:spPr/>
    </dgm:pt>
    <dgm:pt modelId="{75579792-F737-DF40-B896-5287F3D464B6}">
      <dgm:prSet phldrT="[Text]"/>
      <dgm:spPr/>
      <dgm:t>
        <a:bodyPr/>
        <a:lstStyle/>
        <a:p>
          <a:r>
            <a:rPr lang="en-US"/>
            <a:t>Planning</a:t>
          </a:r>
        </a:p>
      </dgm:t>
    </dgm:pt>
    <dgm:pt modelId="{2A4705C5-0B2C-434D-9CD2-F7F65CF91148}" type="parTrans" cxnId="{7C08ADDB-2E36-EE4B-BAE1-6A63E3CCCD5D}">
      <dgm:prSet/>
      <dgm:spPr/>
      <dgm:t>
        <a:bodyPr/>
        <a:lstStyle/>
        <a:p>
          <a:endParaRPr lang="en-US"/>
        </a:p>
      </dgm:t>
    </dgm:pt>
    <dgm:pt modelId="{A1537835-AE5C-0447-A987-9A69BE7C374D}" type="sibTrans" cxnId="{7C08ADDB-2E36-EE4B-BAE1-6A63E3CCCD5D}">
      <dgm:prSet/>
      <dgm:spPr/>
      <dgm:t>
        <a:bodyPr/>
        <a:lstStyle/>
        <a:p>
          <a:endParaRPr lang="en-US"/>
        </a:p>
      </dgm:t>
    </dgm:pt>
    <dgm:pt modelId="{4713F25F-83DE-5245-BC0A-FC76F06E51AC}">
      <dgm:prSet phldrT="[Text]"/>
      <dgm:spPr/>
      <dgm:t>
        <a:bodyPr/>
        <a:lstStyle/>
        <a:p>
          <a:r>
            <a:rPr lang="en-US"/>
            <a:t>Action</a:t>
          </a:r>
        </a:p>
      </dgm:t>
    </dgm:pt>
    <dgm:pt modelId="{DD606571-A713-5746-A6E8-EE8B05740D39}" type="parTrans" cxnId="{6CE91D18-67C1-8E4D-A8A7-FD7E4DE70C5B}">
      <dgm:prSet/>
      <dgm:spPr/>
      <dgm:t>
        <a:bodyPr/>
        <a:lstStyle/>
        <a:p>
          <a:endParaRPr lang="en-US"/>
        </a:p>
      </dgm:t>
    </dgm:pt>
    <dgm:pt modelId="{9B2A8299-1EAC-6A41-8F96-811288D3B274}" type="sibTrans" cxnId="{6CE91D18-67C1-8E4D-A8A7-FD7E4DE70C5B}">
      <dgm:prSet/>
      <dgm:spPr/>
      <dgm:t>
        <a:bodyPr/>
        <a:lstStyle/>
        <a:p>
          <a:endParaRPr lang="en-US"/>
        </a:p>
      </dgm:t>
    </dgm:pt>
    <dgm:pt modelId="{CE560E15-840F-8341-8DE1-18211838AAB9}">
      <dgm:prSet phldrT="[Text]"/>
      <dgm:spPr/>
      <dgm:t>
        <a:bodyPr/>
        <a:lstStyle/>
        <a:p>
          <a:r>
            <a:rPr lang="en-US"/>
            <a:t>Observation</a:t>
          </a:r>
        </a:p>
      </dgm:t>
    </dgm:pt>
    <dgm:pt modelId="{683A3F1B-92CC-4147-9BDD-59FEED82C562}" type="parTrans" cxnId="{82BE47B8-5CF9-6C42-9358-DFFFA58AB961}">
      <dgm:prSet/>
      <dgm:spPr/>
      <dgm:t>
        <a:bodyPr/>
        <a:lstStyle/>
        <a:p>
          <a:endParaRPr lang="en-US"/>
        </a:p>
      </dgm:t>
    </dgm:pt>
    <dgm:pt modelId="{2AB865BA-481E-604A-8EF0-9858A5ED8187}" type="sibTrans" cxnId="{82BE47B8-5CF9-6C42-9358-DFFFA58AB961}">
      <dgm:prSet/>
      <dgm:spPr/>
      <dgm:t>
        <a:bodyPr/>
        <a:lstStyle/>
        <a:p>
          <a:endParaRPr lang="en-US"/>
        </a:p>
      </dgm:t>
    </dgm:pt>
    <dgm:pt modelId="{83F77152-9DDA-F540-8838-A9149431DFA8}">
      <dgm:prSet/>
      <dgm:spPr/>
      <dgm:t>
        <a:bodyPr/>
        <a:lstStyle/>
        <a:p>
          <a:r>
            <a:rPr lang="en-US"/>
            <a:t>Reflection</a:t>
          </a:r>
        </a:p>
      </dgm:t>
    </dgm:pt>
    <dgm:pt modelId="{265398C0-1CB9-9F47-AE1D-79154F871254}" type="parTrans" cxnId="{A62D3C52-3FF9-C54C-AF7D-C3ADF16DB0BE}">
      <dgm:prSet/>
      <dgm:spPr/>
      <dgm:t>
        <a:bodyPr/>
        <a:lstStyle/>
        <a:p>
          <a:endParaRPr lang="en-US"/>
        </a:p>
      </dgm:t>
    </dgm:pt>
    <dgm:pt modelId="{8946CAB1-1AE3-074A-A7C5-C0CF5A5DC110}" type="sibTrans" cxnId="{A62D3C52-3FF9-C54C-AF7D-C3ADF16DB0BE}">
      <dgm:prSet/>
      <dgm:spPr/>
      <dgm:t>
        <a:bodyPr/>
        <a:lstStyle/>
        <a:p>
          <a:endParaRPr lang="en-US"/>
        </a:p>
      </dgm:t>
    </dgm:pt>
    <dgm:pt modelId="{3040C5EA-5875-8B43-AA8F-47B7C046F888}" type="pres">
      <dgm:prSet presAssocID="{476C5F28-C328-F04D-8C3B-C4B36D56C7C8}" presName="Name0" presStyleCnt="0">
        <dgm:presLayoutVars>
          <dgm:dir/>
          <dgm:resizeHandles val="exact"/>
        </dgm:presLayoutVars>
      </dgm:prSet>
      <dgm:spPr/>
    </dgm:pt>
    <dgm:pt modelId="{4EDE443B-74D0-FA4A-BDC4-0AF92CEF7A6C}" type="pres">
      <dgm:prSet presAssocID="{75579792-F737-DF40-B896-5287F3D464B6}" presName="node" presStyleLbl="node1" presStyleIdx="0" presStyleCnt="4">
        <dgm:presLayoutVars>
          <dgm:bulletEnabled val="1"/>
        </dgm:presLayoutVars>
      </dgm:prSet>
      <dgm:spPr/>
    </dgm:pt>
    <dgm:pt modelId="{9FBDF8D0-1B67-D84A-B284-784EAF5A6137}" type="pres">
      <dgm:prSet presAssocID="{A1537835-AE5C-0447-A987-9A69BE7C374D}" presName="sibTrans" presStyleLbl="sibTrans2D1" presStyleIdx="0" presStyleCnt="3"/>
      <dgm:spPr/>
    </dgm:pt>
    <dgm:pt modelId="{2AAE84CF-FAC0-A941-A97F-28DA5F1C1256}" type="pres">
      <dgm:prSet presAssocID="{A1537835-AE5C-0447-A987-9A69BE7C374D}" presName="connectorText" presStyleLbl="sibTrans2D1" presStyleIdx="0" presStyleCnt="3"/>
      <dgm:spPr/>
    </dgm:pt>
    <dgm:pt modelId="{315AF056-3F3F-4F40-AB08-C620CB5C2AFC}" type="pres">
      <dgm:prSet presAssocID="{4713F25F-83DE-5245-BC0A-FC76F06E51AC}" presName="node" presStyleLbl="node1" presStyleIdx="1" presStyleCnt="4">
        <dgm:presLayoutVars>
          <dgm:bulletEnabled val="1"/>
        </dgm:presLayoutVars>
      </dgm:prSet>
      <dgm:spPr/>
    </dgm:pt>
    <dgm:pt modelId="{E1A04B50-783E-3744-A111-65143553DF32}" type="pres">
      <dgm:prSet presAssocID="{9B2A8299-1EAC-6A41-8F96-811288D3B274}" presName="sibTrans" presStyleLbl="sibTrans2D1" presStyleIdx="1" presStyleCnt="3"/>
      <dgm:spPr/>
    </dgm:pt>
    <dgm:pt modelId="{CEB1C982-0BBE-5848-A89C-85EB3E88CC40}" type="pres">
      <dgm:prSet presAssocID="{9B2A8299-1EAC-6A41-8F96-811288D3B274}" presName="connectorText" presStyleLbl="sibTrans2D1" presStyleIdx="1" presStyleCnt="3"/>
      <dgm:spPr/>
    </dgm:pt>
    <dgm:pt modelId="{0C86CFA9-E237-D24E-907E-9795F2C7968E}" type="pres">
      <dgm:prSet presAssocID="{CE560E15-840F-8341-8DE1-18211838AAB9}" presName="node" presStyleLbl="node1" presStyleIdx="2" presStyleCnt="4">
        <dgm:presLayoutVars>
          <dgm:bulletEnabled val="1"/>
        </dgm:presLayoutVars>
      </dgm:prSet>
      <dgm:spPr/>
    </dgm:pt>
    <dgm:pt modelId="{B73D51A3-8750-4847-9687-473A0A5F9DAF}" type="pres">
      <dgm:prSet presAssocID="{2AB865BA-481E-604A-8EF0-9858A5ED8187}" presName="sibTrans" presStyleLbl="sibTrans2D1" presStyleIdx="2" presStyleCnt="3"/>
      <dgm:spPr/>
    </dgm:pt>
    <dgm:pt modelId="{4B4D6562-3BD1-5542-9142-3308A52C2D93}" type="pres">
      <dgm:prSet presAssocID="{2AB865BA-481E-604A-8EF0-9858A5ED8187}" presName="connectorText" presStyleLbl="sibTrans2D1" presStyleIdx="2" presStyleCnt="3"/>
      <dgm:spPr/>
    </dgm:pt>
    <dgm:pt modelId="{6A221AEE-5F3B-A34B-ACD0-BD30124660FA}" type="pres">
      <dgm:prSet presAssocID="{83F77152-9DDA-F540-8838-A9149431DFA8}" presName="node" presStyleLbl="node1" presStyleIdx="3" presStyleCnt="4">
        <dgm:presLayoutVars>
          <dgm:bulletEnabled val="1"/>
        </dgm:presLayoutVars>
      </dgm:prSet>
      <dgm:spPr/>
    </dgm:pt>
  </dgm:ptLst>
  <dgm:cxnLst>
    <dgm:cxn modelId="{E646B102-3732-7D43-BF45-52EFC0A8B2A3}" type="presOf" srcId="{A1537835-AE5C-0447-A987-9A69BE7C374D}" destId="{2AAE84CF-FAC0-A941-A97F-28DA5F1C1256}" srcOrd="1" destOrd="0" presId="urn:microsoft.com/office/officeart/2005/8/layout/process1"/>
    <dgm:cxn modelId="{2DB76B0C-52B2-974F-9033-4FC0893A07EE}" type="presOf" srcId="{4713F25F-83DE-5245-BC0A-FC76F06E51AC}" destId="{315AF056-3F3F-4F40-AB08-C620CB5C2AFC}" srcOrd="0" destOrd="0" presId="urn:microsoft.com/office/officeart/2005/8/layout/process1"/>
    <dgm:cxn modelId="{4D8EDC0D-7F5C-2B45-A470-74761FFC8710}" type="presOf" srcId="{2AB865BA-481E-604A-8EF0-9858A5ED8187}" destId="{4B4D6562-3BD1-5542-9142-3308A52C2D93}" srcOrd="1" destOrd="0" presId="urn:microsoft.com/office/officeart/2005/8/layout/process1"/>
    <dgm:cxn modelId="{6CE91D18-67C1-8E4D-A8A7-FD7E4DE70C5B}" srcId="{476C5F28-C328-F04D-8C3B-C4B36D56C7C8}" destId="{4713F25F-83DE-5245-BC0A-FC76F06E51AC}" srcOrd="1" destOrd="0" parTransId="{DD606571-A713-5746-A6E8-EE8B05740D39}" sibTransId="{9B2A8299-1EAC-6A41-8F96-811288D3B274}"/>
    <dgm:cxn modelId="{49FDE641-1B83-C742-98F2-AA1CB9836F28}" type="presOf" srcId="{A1537835-AE5C-0447-A987-9A69BE7C374D}" destId="{9FBDF8D0-1B67-D84A-B284-784EAF5A6137}" srcOrd="0" destOrd="0" presId="urn:microsoft.com/office/officeart/2005/8/layout/process1"/>
    <dgm:cxn modelId="{BB7C4D44-52C3-CA4F-A492-72D697DF4DE4}" type="presOf" srcId="{83F77152-9DDA-F540-8838-A9149431DFA8}" destId="{6A221AEE-5F3B-A34B-ACD0-BD30124660FA}" srcOrd="0" destOrd="0" presId="urn:microsoft.com/office/officeart/2005/8/layout/process1"/>
    <dgm:cxn modelId="{A62D3C52-3FF9-C54C-AF7D-C3ADF16DB0BE}" srcId="{476C5F28-C328-F04D-8C3B-C4B36D56C7C8}" destId="{83F77152-9DDA-F540-8838-A9149431DFA8}" srcOrd="3" destOrd="0" parTransId="{265398C0-1CB9-9F47-AE1D-79154F871254}" sibTransId="{8946CAB1-1AE3-074A-A7C5-C0CF5A5DC110}"/>
    <dgm:cxn modelId="{CBA66B57-77DC-B749-94FE-B5591E604261}" type="presOf" srcId="{CE560E15-840F-8341-8DE1-18211838AAB9}" destId="{0C86CFA9-E237-D24E-907E-9795F2C7968E}" srcOrd="0" destOrd="0" presId="urn:microsoft.com/office/officeart/2005/8/layout/process1"/>
    <dgm:cxn modelId="{AE787067-565A-1847-9142-E8EA29F3A0BE}" type="presOf" srcId="{476C5F28-C328-F04D-8C3B-C4B36D56C7C8}" destId="{3040C5EA-5875-8B43-AA8F-47B7C046F888}" srcOrd="0" destOrd="0" presId="urn:microsoft.com/office/officeart/2005/8/layout/process1"/>
    <dgm:cxn modelId="{BA1A167B-7C3C-694E-8F8B-5245D1775A05}" type="presOf" srcId="{9B2A8299-1EAC-6A41-8F96-811288D3B274}" destId="{E1A04B50-783E-3744-A111-65143553DF32}" srcOrd="0" destOrd="0" presId="urn:microsoft.com/office/officeart/2005/8/layout/process1"/>
    <dgm:cxn modelId="{B651CF89-8E86-4B4F-8854-33292BDA81C9}" type="presOf" srcId="{2AB865BA-481E-604A-8EF0-9858A5ED8187}" destId="{B73D51A3-8750-4847-9687-473A0A5F9DAF}" srcOrd="0" destOrd="0" presId="urn:microsoft.com/office/officeart/2005/8/layout/process1"/>
    <dgm:cxn modelId="{543E2898-3A66-9E4A-827F-4D4AB2AE1668}" type="presOf" srcId="{9B2A8299-1EAC-6A41-8F96-811288D3B274}" destId="{CEB1C982-0BBE-5848-A89C-85EB3E88CC40}" srcOrd="1" destOrd="0" presId="urn:microsoft.com/office/officeart/2005/8/layout/process1"/>
    <dgm:cxn modelId="{4B94E998-4F84-7149-B647-EB84B1D57DD5}" type="presOf" srcId="{75579792-F737-DF40-B896-5287F3D464B6}" destId="{4EDE443B-74D0-FA4A-BDC4-0AF92CEF7A6C}" srcOrd="0" destOrd="0" presId="urn:microsoft.com/office/officeart/2005/8/layout/process1"/>
    <dgm:cxn modelId="{82BE47B8-5CF9-6C42-9358-DFFFA58AB961}" srcId="{476C5F28-C328-F04D-8C3B-C4B36D56C7C8}" destId="{CE560E15-840F-8341-8DE1-18211838AAB9}" srcOrd="2" destOrd="0" parTransId="{683A3F1B-92CC-4147-9BDD-59FEED82C562}" sibTransId="{2AB865BA-481E-604A-8EF0-9858A5ED8187}"/>
    <dgm:cxn modelId="{7C08ADDB-2E36-EE4B-BAE1-6A63E3CCCD5D}" srcId="{476C5F28-C328-F04D-8C3B-C4B36D56C7C8}" destId="{75579792-F737-DF40-B896-5287F3D464B6}" srcOrd="0" destOrd="0" parTransId="{2A4705C5-0B2C-434D-9CD2-F7F65CF91148}" sibTransId="{A1537835-AE5C-0447-A987-9A69BE7C374D}"/>
    <dgm:cxn modelId="{22441954-39FF-CC46-877B-F072E7650511}" type="presParOf" srcId="{3040C5EA-5875-8B43-AA8F-47B7C046F888}" destId="{4EDE443B-74D0-FA4A-BDC4-0AF92CEF7A6C}" srcOrd="0" destOrd="0" presId="urn:microsoft.com/office/officeart/2005/8/layout/process1"/>
    <dgm:cxn modelId="{40972144-2A22-4F4D-A9AE-52FD65F380FF}" type="presParOf" srcId="{3040C5EA-5875-8B43-AA8F-47B7C046F888}" destId="{9FBDF8D0-1B67-D84A-B284-784EAF5A6137}" srcOrd="1" destOrd="0" presId="urn:microsoft.com/office/officeart/2005/8/layout/process1"/>
    <dgm:cxn modelId="{C6110DB9-8941-2C41-8E98-8563BE2533C0}" type="presParOf" srcId="{9FBDF8D0-1B67-D84A-B284-784EAF5A6137}" destId="{2AAE84CF-FAC0-A941-A97F-28DA5F1C1256}" srcOrd="0" destOrd="0" presId="urn:microsoft.com/office/officeart/2005/8/layout/process1"/>
    <dgm:cxn modelId="{1CE502AC-48E5-0342-95B4-AC483042DC7F}" type="presParOf" srcId="{3040C5EA-5875-8B43-AA8F-47B7C046F888}" destId="{315AF056-3F3F-4F40-AB08-C620CB5C2AFC}" srcOrd="2" destOrd="0" presId="urn:microsoft.com/office/officeart/2005/8/layout/process1"/>
    <dgm:cxn modelId="{661704EF-F570-0149-8E3D-C8E20B1D19B8}" type="presParOf" srcId="{3040C5EA-5875-8B43-AA8F-47B7C046F888}" destId="{E1A04B50-783E-3744-A111-65143553DF32}" srcOrd="3" destOrd="0" presId="urn:microsoft.com/office/officeart/2005/8/layout/process1"/>
    <dgm:cxn modelId="{3552E5FC-3487-BB4C-9E93-95996E2A7D14}" type="presParOf" srcId="{E1A04B50-783E-3744-A111-65143553DF32}" destId="{CEB1C982-0BBE-5848-A89C-85EB3E88CC40}" srcOrd="0" destOrd="0" presId="urn:microsoft.com/office/officeart/2005/8/layout/process1"/>
    <dgm:cxn modelId="{3FFF47B7-E05D-1C4C-9DBA-2DFE03D7DC85}" type="presParOf" srcId="{3040C5EA-5875-8B43-AA8F-47B7C046F888}" destId="{0C86CFA9-E237-D24E-907E-9795F2C7968E}" srcOrd="4" destOrd="0" presId="urn:microsoft.com/office/officeart/2005/8/layout/process1"/>
    <dgm:cxn modelId="{9F99D931-E93E-0D4B-82F8-A003082F978F}" type="presParOf" srcId="{3040C5EA-5875-8B43-AA8F-47B7C046F888}" destId="{B73D51A3-8750-4847-9687-473A0A5F9DAF}" srcOrd="5" destOrd="0" presId="urn:microsoft.com/office/officeart/2005/8/layout/process1"/>
    <dgm:cxn modelId="{BE28425E-6DC7-9043-AE4C-4BA8C7408E9E}" type="presParOf" srcId="{B73D51A3-8750-4847-9687-473A0A5F9DAF}" destId="{4B4D6562-3BD1-5542-9142-3308A52C2D93}" srcOrd="0" destOrd="0" presId="urn:microsoft.com/office/officeart/2005/8/layout/process1"/>
    <dgm:cxn modelId="{D5172941-71EB-5643-9F78-401B1563A62C}" type="presParOf" srcId="{3040C5EA-5875-8B43-AA8F-47B7C046F888}" destId="{6A221AEE-5F3B-A34B-ACD0-BD30124660FA}" srcOrd="6" destOrd="0" presId="urn:microsoft.com/office/officeart/2005/8/layout/process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E443B-74D0-FA4A-BDC4-0AF92CEF7A6C}">
      <dsp:nvSpPr>
        <dsp:cNvPr id="0" name=""/>
        <dsp:cNvSpPr/>
      </dsp:nvSpPr>
      <dsp:spPr>
        <a:xfrm>
          <a:off x="2037" y="14934"/>
          <a:ext cx="890811" cy="534486"/>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Planning</a:t>
          </a:r>
        </a:p>
      </dsp:txBody>
      <dsp:txXfrm>
        <a:off x="17692" y="30589"/>
        <a:ext cx="859501" cy="503176"/>
      </dsp:txXfrm>
    </dsp:sp>
    <dsp:sp modelId="{9FBDF8D0-1B67-D84A-B284-784EAF5A6137}">
      <dsp:nvSpPr>
        <dsp:cNvPr id="0" name=""/>
        <dsp:cNvSpPr/>
      </dsp:nvSpPr>
      <dsp:spPr>
        <a:xfrm>
          <a:off x="981929" y="171717"/>
          <a:ext cx="188852" cy="220921"/>
        </a:xfrm>
        <a:prstGeom prst="rightArrow">
          <a:avLst>
            <a:gd name="adj1" fmla="val 60000"/>
            <a:gd name="adj2" fmla="val 50000"/>
          </a:avLst>
        </a:prstGeom>
        <a:solidFill>
          <a:schemeClr val="dk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981929" y="215901"/>
        <a:ext cx="132196" cy="132553"/>
      </dsp:txXfrm>
    </dsp:sp>
    <dsp:sp modelId="{315AF056-3F3F-4F40-AB08-C620CB5C2AFC}">
      <dsp:nvSpPr>
        <dsp:cNvPr id="0" name=""/>
        <dsp:cNvSpPr/>
      </dsp:nvSpPr>
      <dsp:spPr>
        <a:xfrm>
          <a:off x="1249173" y="14934"/>
          <a:ext cx="890811" cy="534486"/>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Action</a:t>
          </a:r>
        </a:p>
      </dsp:txBody>
      <dsp:txXfrm>
        <a:off x="1264828" y="30589"/>
        <a:ext cx="859501" cy="503176"/>
      </dsp:txXfrm>
    </dsp:sp>
    <dsp:sp modelId="{E1A04B50-783E-3744-A111-65143553DF32}">
      <dsp:nvSpPr>
        <dsp:cNvPr id="0" name=""/>
        <dsp:cNvSpPr/>
      </dsp:nvSpPr>
      <dsp:spPr>
        <a:xfrm>
          <a:off x="2229065" y="171717"/>
          <a:ext cx="188852" cy="220921"/>
        </a:xfrm>
        <a:prstGeom prst="rightArrow">
          <a:avLst>
            <a:gd name="adj1" fmla="val 60000"/>
            <a:gd name="adj2" fmla="val 50000"/>
          </a:avLst>
        </a:prstGeom>
        <a:solidFill>
          <a:schemeClr val="dk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229065" y="215901"/>
        <a:ext cx="132196" cy="132553"/>
      </dsp:txXfrm>
    </dsp:sp>
    <dsp:sp modelId="{0C86CFA9-E237-D24E-907E-9795F2C7968E}">
      <dsp:nvSpPr>
        <dsp:cNvPr id="0" name=""/>
        <dsp:cNvSpPr/>
      </dsp:nvSpPr>
      <dsp:spPr>
        <a:xfrm>
          <a:off x="2496309" y="14934"/>
          <a:ext cx="890811" cy="534486"/>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Observation</a:t>
          </a:r>
        </a:p>
      </dsp:txBody>
      <dsp:txXfrm>
        <a:off x="2511964" y="30589"/>
        <a:ext cx="859501" cy="503176"/>
      </dsp:txXfrm>
    </dsp:sp>
    <dsp:sp modelId="{B73D51A3-8750-4847-9687-473A0A5F9DAF}">
      <dsp:nvSpPr>
        <dsp:cNvPr id="0" name=""/>
        <dsp:cNvSpPr/>
      </dsp:nvSpPr>
      <dsp:spPr>
        <a:xfrm>
          <a:off x="3476201" y="171717"/>
          <a:ext cx="188852" cy="220921"/>
        </a:xfrm>
        <a:prstGeom prst="rightArrow">
          <a:avLst>
            <a:gd name="adj1" fmla="val 60000"/>
            <a:gd name="adj2" fmla="val 50000"/>
          </a:avLst>
        </a:prstGeom>
        <a:solidFill>
          <a:schemeClr val="dk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3476201" y="215901"/>
        <a:ext cx="132196" cy="132553"/>
      </dsp:txXfrm>
    </dsp:sp>
    <dsp:sp modelId="{6A221AEE-5F3B-A34B-ACD0-BD30124660FA}">
      <dsp:nvSpPr>
        <dsp:cNvPr id="0" name=""/>
        <dsp:cNvSpPr/>
      </dsp:nvSpPr>
      <dsp:spPr>
        <a:xfrm>
          <a:off x="3743445" y="14934"/>
          <a:ext cx="890811" cy="534486"/>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Reflection</a:t>
          </a:r>
        </a:p>
      </dsp:txBody>
      <dsp:txXfrm>
        <a:off x="3759100" y="30589"/>
        <a:ext cx="859501" cy="50317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3900</Words>
  <Characters>22234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2026-04-07T07:24:00Z</dcterms:created>
  <dcterms:modified xsi:type="dcterms:W3CDTF">2026-04-07T07:25:00Z</dcterms:modified>
</cp:coreProperties>
</file>