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622591" w:rsidP="00013D23">
      <w:pPr>
        <w:pStyle w:val="01judulartikel"/>
        <w:tabs>
          <w:tab w:val="center" w:pos="4677"/>
        </w:tabs>
        <w:jc w:val="both"/>
        <w:rPr>
          <w:lang w:val="id-ID"/>
        </w:rPr>
      </w:pPr>
      <w:r>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" fillcolor="#265996" stroked="f">
            <v:textbox>
              <w:txbxContent>
                <w:p w:rsidR="00034AB2" w:rsidRPr="00DA3687" w:rsidRDefault="00034AB2"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humaniora</w:t>
                  </w:r>
                </w:p>
                <w:p w:rsidR="00034AB2" w:rsidRPr="00DA3687" w:rsidRDefault="00034AB2"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2548-9585 (Online)</w:t>
                  </w:r>
                </w:p>
                <w:p w:rsidR="00034AB2" w:rsidRPr="00DA3687" w:rsidRDefault="00034AB2"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034AB2" w:rsidRPr="00DA3687" w:rsidRDefault="00034AB2" w:rsidP="002D1BC0">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Jurnal Humaniora</w:t>
                  </w:r>
                </w:p>
              </w:txbxContent>
            </v:textbox>
          </v:shape>
        </w:pict>
      </w:r>
      <w:r>
        <w:rPr>
          <w:noProof/>
          <w:lang w:val="en-US" w:eastAsia="en-US"/>
        </w:rPr>
        <w:pict>
          <v:shape id="_x0000_s1027" type="#_x0000_t202" style="position:absolute;left:0;text-align:left;margin-left:-1.05pt;margin-top:-32.4pt;width:246.65pt;height:19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034AB2" w:rsidRPr="00F355CE" w:rsidRDefault="00034AB2"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lang w:val="id-ID"/>
                    </w:rPr>
                    <w:t xml:space="preserve">Humaniora, Vol. </w:t>
                  </w:r>
                  <w:r>
                    <w:rPr>
                      <w:rFonts w:asciiTheme="majorHAnsi" w:hAnsiTheme="majorHAnsi"/>
                      <w:i/>
                      <w:sz w:val="18"/>
                      <w:szCs w:val="18"/>
                    </w:rPr>
                    <w:t>….</w:t>
                  </w:r>
                  <w:r>
                    <w:rPr>
                      <w:rFonts w:asciiTheme="majorHAnsi" w:hAnsiTheme="majorHAnsi"/>
                      <w:i/>
                      <w:sz w:val="18"/>
                      <w:szCs w:val="18"/>
                      <w:lang w:val="id-ID"/>
                    </w:rPr>
                    <w:t xml:space="preserve">, No. </w:t>
                  </w:r>
                  <w:r>
                    <w:rPr>
                      <w:rFonts w:asciiTheme="majorHAnsi" w:hAnsiTheme="majorHAnsi"/>
                      <w:i/>
                      <w:sz w:val="18"/>
                      <w:szCs w:val="18"/>
                    </w:rPr>
                    <w:t>….</w:t>
                  </w:r>
                  <w:r w:rsidRPr="00F355CE">
                    <w:rPr>
                      <w:rFonts w:asciiTheme="majorHAnsi" w:hAnsiTheme="majorHAnsi"/>
                      <w:i/>
                      <w:sz w:val="18"/>
                      <w:szCs w:val="18"/>
                      <w:lang w:val="id-ID"/>
                    </w:rPr>
                    <w:t xml:space="preserve">, </w:t>
                  </w:r>
                  <w:r>
                    <w:rPr>
                      <w:rFonts w:asciiTheme="majorHAnsi" w:hAnsiTheme="majorHAnsi"/>
                      <w:i/>
                      <w:sz w:val="18"/>
                      <w:szCs w:val="18"/>
                      <w:lang w:val="id-ID"/>
                    </w:rPr>
                    <w:t>Oktober201</w:t>
                  </w:r>
                  <w:r>
                    <w:rPr>
                      <w:rFonts w:asciiTheme="majorHAnsi" w:hAnsiTheme="majorHAnsi"/>
                      <w:i/>
                      <w:sz w:val="18"/>
                      <w:szCs w:val="18"/>
                    </w:rPr>
                    <w:t>9</w:t>
                  </w:r>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rsidR="00034AB2" w:rsidRDefault="00034AB2" w:rsidP="00EB23FD">
                  <w:pPr>
                    <w:pStyle w:val="Header"/>
                  </w:pPr>
                </w:p>
                <w:p w:rsidR="00034AB2" w:rsidRDefault="00034AB2" w:rsidP="00EB23FD"/>
              </w:txbxContent>
            </v:textbox>
          </v:shape>
        </w:pict>
      </w:r>
      <w:r w:rsidR="00DD0207">
        <w:rPr>
          <w:noProof/>
          <w:lang w:val="en-US" w:eastAsia="en-US"/>
        </w:rPr>
        <w:drawing>
          <wp:anchor distT="0" distB="0" distL="114300" distR="114300" simplePos="0" relativeHeight="251663360" behindDoc="0" locked="0" layoutInCell="1" allowOverlap="1">
            <wp:simplePos x="0" y="0"/>
            <wp:positionH relativeFrom="column">
              <wp:posOffset>4911317</wp:posOffset>
            </wp:positionH>
            <wp:positionV relativeFrom="paragraph">
              <wp:posOffset>91440</wp:posOffset>
            </wp:positionV>
            <wp:extent cx="739956" cy="1046884"/>
            <wp:effectExtent l="0" t="0" r="317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39956" cy="1046884"/>
                    </a:xfrm>
                    <a:prstGeom prst="rect">
                      <a:avLst/>
                    </a:prstGeom>
                  </pic:spPr>
                </pic:pic>
              </a:graphicData>
            </a:graphic>
          </wp:anchor>
        </w:drawing>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E56840" w:rsidRDefault="00622591" w:rsidP="00E56840">
      <w:pPr>
        <w:pStyle w:val="01judulartikel"/>
      </w:pPr>
      <w:r>
        <w:rPr>
          <w:noProof/>
          <w:lang w:val="en-US" w:eastAsia="en-US"/>
        </w:rPr>
        <w:pict>
          <v:line id="Straight Connector 7" o:spid="_x0000_s1031" style="position:absolute;left:0;text-align:left;z-index:251665408;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lang w:val="en-US" w:eastAsia="en-US"/>
        </w:rPr>
        <w:pict>
          <v:line id="Straight Connector 8" o:spid="_x0000_s1030" style="position:absolute;left:0;text-align:left;z-index:251662336;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443DB6">
        <w:rPr>
          <w:noProof/>
          <w:lang w:val="en-US" w:eastAsia="en-US"/>
        </w:rPr>
        <w:t>ANALISIS DETERMINAN PERTUMBUHAN INDUSTRI DI PROVINSI SUMATERA UTARA</w:t>
      </w:r>
    </w:p>
    <w:p w:rsidR="00007D53" w:rsidRPr="00117838" w:rsidRDefault="00443DB6" w:rsidP="00DD0207">
      <w:pPr>
        <w:pStyle w:val="02penulis"/>
        <w:rPr>
          <w:lang w:val="en-US"/>
        </w:rPr>
      </w:pPr>
      <w:r>
        <w:rPr>
          <w:lang w:val="en-US"/>
        </w:rPr>
        <w:t>Tetty Tiurma Uli Sipahutar, S.E.,M.Si</w:t>
      </w:r>
      <w:r w:rsidR="00F05E2B" w:rsidRPr="00DD0207">
        <w:rPr>
          <w:vertAlign w:val="superscript"/>
        </w:rPr>
        <w:t>*</w:t>
      </w:r>
      <w:r w:rsidR="00007D53" w:rsidRPr="00DD0207">
        <w:rPr>
          <w:vertAlign w:val="superscript"/>
        </w:rPr>
        <w:t>1</w:t>
      </w:r>
      <w:r w:rsidR="00007D53" w:rsidRPr="00DD0207">
        <w:t xml:space="preserve">, </w:t>
      </w:r>
      <w:r>
        <w:t>Yeni Rafita Sihombing, S.Pd.,M.Sc</w:t>
      </w:r>
      <w:r>
        <w:rPr>
          <w:vertAlign w:val="superscript"/>
          <w:lang w:val="en-US"/>
        </w:rPr>
        <w:t>2</w:t>
      </w:r>
    </w:p>
    <w:p w:rsidR="00620DD6" w:rsidRPr="00F579C6" w:rsidRDefault="00620DD6" w:rsidP="00EB23FD">
      <w:pPr>
        <w:pStyle w:val="03almtpenulis"/>
        <w:ind w:left="196" w:hanging="196"/>
        <w:jc w:val="both"/>
        <w:rPr>
          <w:szCs w:val="22"/>
          <w:lang w:val="id-ID"/>
        </w:rPr>
      </w:pPr>
      <w:r w:rsidRPr="00F579C6">
        <w:rPr>
          <w:szCs w:val="22"/>
          <w:vertAlign w:val="superscript"/>
        </w:rPr>
        <w:t>1</w:t>
      </w:r>
      <w:r w:rsidR="00443DB6">
        <w:t>Fakultas Ekonomi, Program Studi Akuntansi, Universitas Prima Indonesia, Medan, 20118, Indonesia</w:t>
      </w:r>
      <w:r w:rsidRPr="00F579C6">
        <w:rPr>
          <w:szCs w:val="22"/>
          <w:lang w:val="id-ID"/>
        </w:rPr>
        <w:t>.</w:t>
      </w:r>
    </w:p>
    <w:p w:rsidR="00151FC0" w:rsidRPr="004D5FB8" w:rsidRDefault="00151FC0" w:rsidP="00C0434A">
      <w:pPr>
        <w:pStyle w:val="03almtpenulis"/>
        <w:tabs>
          <w:tab w:val="left" w:pos="224"/>
        </w:tabs>
        <w:ind w:left="224"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hyperlink r:id="rId9" w:history="1">
        <w:r w:rsidR="00443DB6" w:rsidRPr="00E31AAA">
          <w:rPr>
            <w:rStyle w:val="Hyperlink"/>
            <w:bCs/>
            <w:szCs w:val="22"/>
            <w:lang w:val="en-US"/>
          </w:rPr>
          <w:t>ratuhapis.tetty@gmail.com</w:t>
        </w:r>
        <w:r w:rsidR="00443DB6" w:rsidRPr="00E31AAA">
          <w:rPr>
            <w:rStyle w:val="Hyperlink"/>
            <w:szCs w:val="22"/>
            <w:vertAlign w:val="superscript"/>
            <w:lang w:val="id-ID"/>
          </w:rPr>
          <w:t>1</w:t>
        </w:r>
      </w:hyperlink>
    </w:p>
    <w:p w:rsidR="008B7192" w:rsidRDefault="008B7192" w:rsidP="008B7192">
      <w:pPr>
        <w:pStyle w:val="03almtpenulis"/>
        <w:rPr>
          <w:sz w:val="24"/>
          <w:szCs w:val="24"/>
          <w:lang w:val="id-ID"/>
        </w:rPr>
      </w:pPr>
    </w:p>
    <w:p w:rsidR="00075496" w:rsidRPr="00D55825" w:rsidRDefault="00622591" w:rsidP="001218A8">
      <w:pPr>
        <w:pStyle w:val="03almtpenulis"/>
        <w:jc w:val="both"/>
        <w:rPr>
          <w:sz w:val="18"/>
          <w:szCs w:val="18"/>
          <w:lang w:val="id-ID"/>
        </w:rPr>
      </w:pPr>
      <w:r>
        <w:rPr>
          <w:noProof/>
          <w:sz w:val="18"/>
          <w:szCs w:val="18"/>
          <w:lang w:val="en-US" w:eastAsia="en-US"/>
        </w:rPr>
        <w:pict>
          <v:line id="Straight Connector 13" o:spid="_x0000_s1029" style="position:absolute;left:0;text-align:left;flip:y;z-index:2516664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D311C6" w:rsidRPr="00D311C6" w:rsidRDefault="00F05E2B" w:rsidP="004A24D0">
      <w:pPr>
        <w:ind w:firstLine="284"/>
      </w:pPr>
      <w:r w:rsidRPr="00E56840">
        <w:rPr>
          <w:rFonts w:cs="Arial"/>
          <w:b/>
          <w:i/>
          <w:kern w:val="0"/>
          <w:szCs w:val="18"/>
          <w:lang w:val="id-ID"/>
        </w:rPr>
        <w:t>Abstract:</w:t>
      </w:r>
      <w:r w:rsidR="00443DB6">
        <w:rPr>
          <w:rFonts w:cs="Arial"/>
          <w:b/>
          <w:i/>
          <w:kern w:val="0"/>
          <w:szCs w:val="18"/>
        </w:rPr>
        <w:t xml:space="preserve"> </w:t>
      </w:r>
      <w:r w:rsidR="004A24D0" w:rsidRPr="00021BAA">
        <w:t>The influence of industrial development on economic growth in North Sumatra over the past decade has become a recurring problem as economic analysis especially of growing regions. North Sumatra has enjoyed a long period of economic growth however, there is a bad contribution from the industrial sector to the North Sumatra province's GDP</w:t>
      </w:r>
      <w:r w:rsidR="004A24D0">
        <w:t xml:space="preserve"> regional</w:t>
      </w:r>
      <w:r w:rsidR="004A24D0" w:rsidRPr="00021BAA">
        <w:t>. There are various studies that have supported that increasing the number of industries is the path to sustainable economic growth. Thus, this study aims to review research conducted in the field of determinants and factors that influence the growth of the number of industries. This review highlights that most studies have been carried out to establish a relationship between the Number of Industries, the Open Unemployment Rate, and the Population Amount, to the Gross Regional Domestic Product. To conclude, the main industry growth factors identified are relevant to increasing economic growth in North Sumatra: status of foreign direct investment, employment of people, government financial support - investment incentives, marketing strategies to attract investors, overall readiness and availability of a number of industries with a focus on effects positive regional development, using regional GDP per capita, specifically to reduce regional unemployment rates.</w:t>
      </w:r>
    </w:p>
    <w:p w:rsidR="004A24D0" w:rsidRDefault="00DD0207" w:rsidP="004A24D0">
      <w:pPr>
        <w:pStyle w:val="04bkeywords"/>
        <w:ind w:left="0"/>
        <w:rPr>
          <w:szCs w:val="20"/>
        </w:rPr>
      </w:pPr>
      <w:r w:rsidRPr="0060274F">
        <w:rPr>
          <w:lang w:eastAsia="id-ID"/>
        </w:rPr>
        <w:t xml:space="preserve">Keywords: </w:t>
      </w:r>
      <w:r w:rsidR="004A24D0" w:rsidRPr="004A24D0">
        <w:rPr>
          <w:szCs w:val="20"/>
        </w:rPr>
        <w:t>Population, Unemployment, Industry, GRDP</w:t>
      </w:r>
    </w:p>
    <w:p w:rsidR="000E4959" w:rsidRPr="000E4959" w:rsidRDefault="000E4959" w:rsidP="00DD0207">
      <w:pPr>
        <w:pStyle w:val="04bkeywords"/>
        <w:ind w:left="308"/>
        <w:rPr>
          <w:lang w:eastAsia="id-ID"/>
        </w:rPr>
      </w:pPr>
    </w:p>
    <w:p w:rsidR="00D311C6" w:rsidRPr="00D311C6" w:rsidRDefault="00F05E2B" w:rsidP="004A24D0">
      <w:pPr>
        <w:ind w:firstLine="284"/>
      </w:pPr>
      <w:r w:rsidRPr="000E4959">
        <w:rPr>
          <w:rFonts w:cs="Arial"/>
          <w:b/>
          <w:szCs w:val="18"/>
          <w:lang w:val="id-ID"/>
        </w:rPr>
        <w:t>Abstrak</w:t>
      </w:r>
      <w:r w:rsidRPr="000E4959">
        <w:rPr>
          <w:rFonts w:cs="Arial"/>
          <w:szCs w:val="18"/>
          <w:lang w:val="id-ID"/>
        </w:rPr>
        <w:t>:</w:t>
      </w:r>
      <w:r w:rsidR="004A24D0" w:rsidRPr="004A24D0">
        <w:t xml:space="preserve"> </w:t>
      </w:r>
      <w:r w:rsidR="004A24D0" w:rsidRPr="00021BAA">
        <w:t>Pengaruh perkembangan industri pada pertumbuhan ekonomi di Sumatera Utara selama dekade terakhir telah menjadi masalah berulang sebagai analisis ekonomi terutama daerah-daerah yang sedang bertumbuh. Sumatera Utara telah menikmati periode panjang pertumbuhan ekonomi namun, ada kontribusi buruk dari sektor industry terhadap PDRB provinsi Sumatera Utara.  Ada berbagai studi yang telah mendukung bahwa peningkatan jumlah industri adalah jalan menuju pertumbuhan ekonomi yang berkelanjutan. Dengan demikian, penelitian ini bertujuan meninjau penelitian yang dilakukan di bidang penentu dan faktor-faktor yang mempengaruhi pertumbuhan jumlah industri. Tinjauan ini menyoroti bahwa sebagian besar studi telah dilakukan untuk membangun hubungan antara Jumlah Indistri, Tingkat Pengangguran Terbuka, dan Jumlah Penduduk, terhadap Produk Domestik Regional Bruto. Untuk menyimpulkan, faktor pertumbuhan industri utama yang diidentifikasi yang relevan dengan peningkatan pertumbuhan ekonomi di Sumatera Utara: status investasi langsung asing, pekerjaan orang, dukungan keuangan pemerintah - insentif investasi, strategi pemasaran untuk menarik investor, kesiapan keseluruhan dan ketersediaan jumlah industri dengan fokus pada efek positif pembangunan daerah, menggunakan PDRB per kapita regional, khususnya untuk mengurangi tingkat pengangguran regional.</w:t>
      </w:r>
    </w:p>
    <w:p w:rsidR="00F05E2B" w:rsidRDefault="00F05E2B" w:rsidP="004A24D0">
      <w:pPr>
        <w:pStyle w:val="05bkatakunci"/>
        <w:spacing w:before="0"/>
        <w:ind w:left="0" w:right="228"/>
        <w:rPr>
          <w:lang w:val="id-ID"/>
        </w:rPr>
      </w:pPr>
      <w:r w:rsidRPr="008A4591">
        <w:t xml:space="preserve">Kata kunci : </w:t>
      </w:r>
      <w:r w:rsidR="00443DB6">
        <w:t>Penduduk</w:t>
      </w:r>
      <w:r w:rsidR="000E4959" w:rsidRPr="000E4959">
        <w:rPr>
          <w:sz w:val="18"/>
        </w:rPr>
        <w:t xml:space="preserve">, </w:t>
      </w:r>
      <w:r w:rsidR="00443DB6">
        <w:t>Pengangguran</w:t>
      </w:r>
      <w:r w:rsidR="000A536E">
        <w:t xml:space="preserve">, </w:t>
      </w:r>
      <w:r w:rsidR="00443DB6">
        <w:t>Industri, PDRB</w:t>
      </w:r>
      <w:r w:rsidR="000A536E">
        <w:t>.</w:t>
      </w:r>
    </w:p>
    <w:p w:rsidR="000E4959" w:rsidRDefault="000E4959" w:rsidP="004A24D0">
      <w:pPr>
        <w:pStyle w:val="05bkatakunci"/>
        <w:spacing w:before="0"/>
        <w:ind w:left="322" w:right="228"/>
        <w:rPr>
          <w:lang w:val="en-US"/>
        </w:rPr>
      </w:pPr>
    </w:p>
    <w:p w:rsidR="00337088" w:rsidRDefault="00337088" w:rsidP="00DD0207">
      <w:pPr>
        <w:pStyle w:val="05bkatakunci"/>
        <w:ind w:left="322" w:right="228"/>
        <w:rPr>
          <w:lang w:val="en-US"/>
        </w:rPr>
      </w:pPr>
    </w:p>
    <w:p w:rsidR="00337088" w:rsidRDefault="00337088" w:rsidP="00DD0207">
      <w:pPr>
        <w:pStyle w:val="05bkatakunci"/>
        <w:ind w:left="322" w:right="228"/>
        <w:rPr>
          <w:lang w:val="en-US"/>
        </w:rPr>
      </w:pPr>
    </w:p>
    <w:p w:rsidR="000E4959" w:rsidRDefault="000E4959" w:rsidP="00DD0207">
      <w:pPr>
        <w:pStyle w:val="05bkatakunci"/>
        <w:ind w:left="322" w:right="228"/>
        <w:rPr>
          <w:lang w:val="en-US"/>
        </w:rPr>
      </w:pPr>
    </w:p>
    <w:p w:rsidR="004A24D0" w:rsidRPr="00337088" w:rsidRDefault="004A24D0" w:rsidP="00DD0207">
      <w:pPr>
        <w:pStyle w:val="05bkatakunci"/>
        <w:ind w:left="322" w:right="228"/>
        <w:rPr>
          <w:lang w:val="en-US"/>
        </w:rPr>
        <w:sectPr w:rsidR="004A24D0" w:rsidRPr="00337088"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rsidR="00316A97" w:rsidRDefault="00316A97" w:rsidP="004A24D0">
      <w:pPr>
        <w:pStyle w:val="08paragraf"/>
        <w:ind w:firstLine="284"/>
        <w:rPr>
          <w:lang w:val="en-US"/>
        </w:rPr>
      </w:pPr>
      <w:r>
        <w:rPr>
          <w:lang w:val="en-US"/>
        </w:rPr>
        <w:lastRenderedPageBreak/>
        <w:t xml:space="preserve">Pembangunan bisa dimaknai sebagai aktivitas untuk melakukan dan meraih perubahan menuju kondisi yang lebih baik untuk melakukan dan meraih perubahan menuju kondisi yang lebih baik dari sebelumnya. Agar pembangunan dapat berhasil optimal, maka diperlukan pertumbuhan ekonomi yang signifikan. </w:t>
      </w:r>
      <w:r>
        <w:rPr>
          <w:lang w:val="en-US"/>
        </w:rPr>
        <w:fldChar w:fldCharType="begin" w:fldLock="1"/>
      </w:r>
      <w:r>
        <w:rPr>
          <w:lang w:val="en-US"/>
        </w:rPr>
        <w:instrText>ADDIN CSL_CITATION {"citationItems":[{"id":"ITEM-1","itemData":{"author":[{"dropping-particle":"","family":"Pujoalwanto","given":"Basuki","non-dropping-particle":"","parse-names":false,"suffix":""}],"edition":"Tinjauan H","id":"ITEM-1","issued":{"date-parts":[["2014"]]},"publisher":"Graha Ilmu","publisher-place":"Jakarta","title":"Perekonomian Indonesia","type":"book"},"uris":["http://www.mendeley.com/documents/?uuid=ca28dae3-4a39-41f5-bda6-b947f64c83b5"]}],"mendeley":{"formattedCitation":"(Pujoalwanto, 2014)","plainTextFormattedCitation":"(Pujoalwanto, 2014)"},"properties":{"noteIndex":0},"schema":"https://github.com/citation-style-language/schema/raw/master/csl-citation.json"}</w:instrText>
      </w:r>
      <w:r>
        <w:rPr>
          <w:lang w:val="en-US"/>
        </w:rPr>
        <w:fldChar w:fldCharType="separate"/>
      </w:r>
      <w:r w:rsidRPr="00316A97">
        <w:rPr>
          <w:noProof/>
          <w:lang w:val="en-US"/>
        </w:rPr>
        <w:t>(Pujoalwanto, 2014)</w:t>
      </w:r>
      <w:r>
        <w:rPr>
          <w:lang w:val="en-US"/>
        </w:rPr>
        <w:fldChar w:fldCharType="end"/>
      </w:r>
    </w:p>
    <w:p w:rsidR="00316A97" w:rsidRDefault="00337088" w:rsidP="004A24D0">
      <w:pPr>
        <w:pStyle w:val="08paragraf"/>
        <w:ind w:firstLine="284"/>
        <w:rPr>
          <w:szCs w:val="22"/>
          <w:lang w:val="en-US"/>
        </w:rPr>
      </w:pPr>
      <w:r>
        <w:rPr>
          <w:lang w:val="en-US"/>
        </w:rPr>
        <w:t>Telah terdokumentasi dengan baik dalam berbagai literatur bahwa indust</w:t>
      </w:r>
      <w:r w:rsidR="001A269C">
        <w:rPr>
          <w:lang w:val="en-US"/>
        </w:rPr>
        <w:t>r</w:t>
      </w:r>
      <w:r>
        <w:rPr>
          <w:lang w:val="en-US"/>
        </w:rPr>
        <w:t xml:space="preserve">ialisasi memiliki beberapa keunggulan, terutama dalam jangka panjang, seperti  </w:t>
      </w:r>
      <w:r w:rsidRPr="00337088">
        <w:rPr>
          <w:szCs w:val="22"/>
        </w:rPr>
        <w:t xml:space="preserve">diversifikasi ekonomi, pengurangan pengangguran, transfer teknologi dan peningkatan kesejahteraan yang ditunjukkan dari peningkatan pertumbuhan ekonomi setiap daerah di Sumatera Utara. Pernyataan ini tampaknya diperkuat setelah diperluas kegiatan sektor jasa keuangan yang membuat manufaktur kembali menjadi sorotan. daerah-daerah di Sumatera Utara telah mengalami pertumbuhan luar biasa terkait dengan pergantian dalam strategi peningkatan jumlah industri di daerah masing-masing dengan adanya otonomi daerah. Peralihan ini, dimanifestasikan oleh mutasi awal dari pendekatan substitusi impor ke promosi ekspor telah disertai dengan kemakmuran luar biasa dari sektor industri. </w:t>
      </w:r>
    </w:p>
    <w:p w:rsidR="00316A97" w:rsidRDefault="00316A97" w:rsidP="004A24D0">
      <w:pPr>
        <w:pStyle w:val="08paragraf"/>
        <w:ind w:firstLine="284"/>
        <w:rPr>
          <w:szCs w:val="22"/>
          <w:lang w:val="en-US"/>
        </w:rPr>
      </w:pPr>
      <w:r>
        <w:rPr>
          <w:szCs w:val="22"/>
          <w:lang w:val="en-US"/>
        </w:rPr>
        <w:t xml:space="preserve">Jika industrI semakin meningkat kontribusinya terhadap pertumbuhan ekonomi suatu daerah dan memiliki </w:t>
      </w:r>
      <w:r w:rsidR="00BD2967">
        <w:rPr>
          <w:szCs w:val="22"/>
          <w:lang w:val="en-US"/>
        </w:rPr>
        <w:t>kinerja yang sangat kontrik, bisa dikatakan daerah tersebut masuk ke dalam fase-fase industrialisasi.</w:t>
      </w:r>
    </w:p>
    <w:p w:rsidR="000A536E" w:rsidRDefault="00337088" w:rsidP="004A24D0">
      <w:pPr>
        <w:pStyle w:val="08paragraf"/>
        <w:ind w:firstLine="284"/>
        <w:rPr>
          <w:szCs w:val="22"/>
          <w:lang w:val="en-US"/>
        </w:rPr>
      </w:pPr>
      <w:r w:rsidRPr="00337088">
        <w:rPr>
          <w:szCs w:val="22"/>
        </w:rPr>
        <w:t>Memang, seperti yang ditunjukkan pada gambar 1</w:t>
      </w:r>
      <w:r w:rsidR="00E57E69">
        <w:rPr>
          <w:szCs w:val="22"/>
          <w:lang w:val="en-US"/>
        </w:rPr>
        <w:t>.1</w:t>
      </w:r>
      <w:r w:rsidRPr="00337088">
        <w:rPr>
          <w:szCs w:val="22"/>
        </w:rPr>
        <w:t>, peningkatan pada pertumbuhan ekonomi yang ditunjukkan di Produk Domestik Regional Bruto (PDRB) meningkat dari tahun 2013 ke 2015 sebesar 3.02%.</w:t>
      </w:r>
    </w:p>
    <w:p w:rsidR="00316A97" w:rsidRPr="00CD3D77" w:rsidRDefault="00316A97" w:rsidP="00BD2967">
      <w:pPr>
        <w:pStyle w:val="08paragraf"/>
        <w:spacing w:after="240"/>
        <w:ind w:firstLine="0"/>
        <w:rPr>
          <w:sz w:val="16"/>
          <w:szCs w:val="16"/>
          <w:lang w:val="en-US"/>
        </w:rPr>
      </w:pPr>
      <w:r>
        <w:rPr>
          <w:noProof/>
          <w:lang w:val="en-US" w:eastAsia="en-US"/>
        </w:rPr>
        <w:drawing>
          <wp:anchor distT="0" distB="1905" distL="114300" distR="114300" simplePos="0" relativeHeight="251674624" behindDoc="0" locked="0" layoutInCell="1" allowOverlap="1">
            <wp:simplePos x="0" y="0"/>
            <wp:positionH relativeFrom="margin">
              <wp:posOffset>3090545</wp:posOffset>
            </wp:positionH>
            <wp:positionV relativeFrom="margin">
              <wp:posOffset>186690</wp:posOffset>
            </wp:positionV>
            <wp:extent cx="3527425" cy="2264410"/>
            <wp:effectExtent l="19050" t="0" r="15875" b="2540"/>
            <wp:wrapSquare wrapText="bothSides"/>
            <wp:docPr id="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CD3D77">
        <w:rPr>
          <w:sz w:val="16"/>
          <w:szCs w:val="16"/>
          <w:lang w:val="en-US"/>
        </w:rPr>
        <w:t>Sumber: BPS Sumut (2010)</w:t>
      </w:r>
    </w:p>
    <w:p w:rsidR="001B3F7D" w:rsidRPr="001B3F7D" w:rsidRDefault="001B3F7D" w:rsidP="004A24D0">
      <w:pPr>
        <w:spacing w:line="360" w:lineRule="auto"/>
        <w:ind w:firstLine="284"/>
        <w:rPr>
          <w:sz w:val="22"/>
          <w:szCs w:val="22"/>
        </w:rPr>
      </w:pPr>
      <w:r w:rsidRPr="001B3F7D">
        <w:rPr>
          <w:sz w:val="22"/>
          <w:szCs w:val="22"/>
        </w:rPr>
        <w:t>Sesuai dengan polanya, pertumbuhan ekonomi di provinsi Sumatera Utara pada tahun 2015 menunjukkan peningkatan bila dibandingkan dengan tahun sebelumnya. Namun, yang menjadi permasalah di provinsi Sumatera Utara masih tertekannya kinerja jumlah industri yang menjadi penyebab tertahannya pertumbuhan ekonomi Sumatera Utara di sisi penawaran. Bahkan kondisi tingkat pengangguran terbuka di provinsi Sumatera Utara menunjukkan peningkatan yang tercermin dari penurunan indeks ketersediaan lapangan kerja dan indikator jumlah karyawan. Sejalan dengan itu, tingkat kesejahteraan juga menurun yang tercermin dari peningkatan persentase penduduk. Penurunan tersebut terutama dipengaruhi tingginya inflasi pasca kenaikan harga BBM pada November 2014 dan persistensi perlambatan ekonomi. Belum op</w:t>
      </w:r>
      <w:r w:rsidRPr="001B3F7D">
        <w:rPr>
          <w:sz w:val="22"/>
          <w:szCs w:val="22"/>
        </w:rPr>
        <w:softHyphen/>
        <w:t>ti</w:t>
      </w:r>
      <w:r w:rsidRPr="001B3F7D">
        <w:rPr>
          <w:sz w:val="22"/>
          <w:szCs w:val="22"/>
        </w:rPr>
        <w:softHyphen/>
        <w:t>malnya kinerja pertumbuhan eko</w:t>
      </w:r>
      <w:r w:rsidRPr="001B3F7D">
        <w:rPr>
          <w:sz w:val="22"/>
          <w:szCs w:val="22"/>
        </w:rPr>
        <w:softHyphen/>
        <w:t>nomi di provinsi Su</w:t>
      </w:r>
      <w:r w:rsidRPr="001B3F7D">
        <w:rPr>
          <w:sz w:val="22"/>
          <w:szCs w:val="22"/>
        </w:rPr>
        <w:softHyphen/>
        <w:t>matera Utara, berdampak kepada jumlah penduduk miskin yang masih ting</w:t>
      </w:r>
      <w:r w:rsidRPr="001B3F7D">
        <w:rPr>
          <w:sz w:val="22"/>
          <w:szCs w:val="22"/>
        </w:rPr>
        <w:softHyphen/>
        <w:t>gi yang hidup di bawah garis kemis</w:t>
      </w:r>
      <w:r w:rsidRPr="001B3F7D">
        <w:rPr>
          <w:sz w:val="22"/>
          <w:szCs w:val="22"/>
        </w:rPr>
        <w:softHyphen/>
        <w:t>kinan.</w:t>
      </w:r>
    </w:p>
    <w:p w:rsidR="001B3F7D" w:rsidRDefault="00E57E69" w:rsidP="004A24D0">
      <w:pPr>
        <w:pStyle w:val="08paragraf"/>
        <w:ind w:firstLine="284"/>
        <w:rPr>
          <w:lang w:val="en-US"/>
        </w:rPr>
      </w:pPr>
      <w:r w:rsidRPr="00E57E69">
        <w:t xml:space="preserve">Konotasi yang menganggap </w:t>
      </w:r>
      <w:r>
        <w:rPr>
          <w:lang w:val="en-US"/>
        </w:rPr>
        <w:t xml:space="preserve">Sumatera Utara </w:t>
      </w:r>
      <w:r w:rsidRPr="00E57E69">
        <w:lastRenderedPageBreak/>
        <w:t xml:space="preserve">sebagai </w:t>
      </w:r>
      <w:r>
        <w:rPr>
          <w:lang w:val="en-US"/>
        </w:rPr>
        <w:t xml:space="preserve">daerah </w:t>
      </w:r>
      <w:r w:rsidRPr="00E57E69">
        <w:t>pertanian dan p</w:t>
      </w:r>
      <w:r>
        <w:rPr>
          <w:lang w:val="en-US"/>
        </w:rPr>
        <w:t xml:space="preserve">ariwisata </w:t>
      </w:r>
      <w:r w:rsidRPr="00E57E69">
        <w:t xml:space="preserve">tetap diberi ketidakmampuan pemerintah untuk membangun transformasi struktural ekonomi </w:t>
      </w:r>
      <w:r>
        <w:rPr>
          <w:lang w:val="en-US"/>
        </w:rPr>
        <w:t>daerah</w:t>
      </w:r>
      <w:r w:rsidRPr="00E57E69">
        <w:t xml:space="preserve">. Bahkan </w:t>
      </w:r>
      <w:r>
        <w:rPr>
          <w:lang w:val="en-US"/>
        </w:rPr>
        <w:t xml:space="preserve">daerah-daerah </w:t>
      </w:r>
      <w:r w:rsidRPr="00E57E69">
        <w:t xml:space="preserve">yang mencapai stabilitas ekonomi makro dan membuktikan tata pemerintahan yang baik tampaknya tidak mampu menarik banyak investasi di luar sektor ekstraktif. Jelas, meskipun ada kesenjangan kinerja industri antara </w:t>
      </w:r>
      <w:r>
        <w:rPr>
          <w:lang w:val="en-US"/>
        </w:rPr>
        <w:t>daerah satu dengan daerah berkembang lainnya</w:t>
      </w:r>
      <w:r w:rsidRPr="00E57E69">
        <w:t xml:space="preserve">, pengembangan industri tampaknya kurang diberi bobot daripada yang seharusnya di </w:t>
      </w:r>
      <w:r>
        <w:rPr>
          <w:lang w:val="en-US"/>
        </w:rPr>
        <w:t>Sumatera Utara</w:t>
      </w:r>
      <w:r w:rsidRPr="00E57E69">
        <w:t xml:space="preserve">. Sebagian besar pemimpin politik memang meremehkan potensi nyata industrialisasi bagi </w:t>
      </w:r>
      <w:r>
        <w:rPr>
          <w:lang w:val="en-US"/>
        </w:rPr>
        <w:t>daerah di Sumatera Utara.</w:t>
      </w:r>
      <w:r w:rsidRPr="00E57E69">
        <w:t xml:space="preserve"> Pada saat yang sama, hanya sedikit peneliti yang berurusan dengan alasan yang ada di balik keterlambatan kemunculan </w:t>
      </w:r>
      <w:r>
        <w:rPr>
          <w:lang w:val="en-US"/>
        </w:rPr>
        <w:t>Sumatera Utara</w:t>
      </w:r>
      <w:r w:rsidRPr="00E57E69">
        <w:t xml:space="preserve"> sebagai blok industri. Oleh karena itu, memahami keterbelakangan industri di </w:t>
      </w:r>
      <w:r>
        <w:rPr>
          <w:lang w:val="en-US"/>
        </w:rPr>
        <w:t xml:space="preserve">Sumatera Utara </w:t>
      </w:r>
      <w:r w:rsidRPr="00E57E69">
        <w:t xml:space="preserve">dan membuka jalan bagi kebijakan industri yang tepat bagi </w:t>
      </w:r>
      <w:r>
        <w:rPr>
          <w:lang w:val="en-US"/>
        </w:rPr>
        <w:t>pemerintah Sumatera Utara</w:t>
      </w:r>
      <w:r w:rsidRPr="00E57E69">
        <w:t xml:space="preserve"> tampaknya menantang. </w:t>
      </w:r>
    </w:p>
    <w:p w:rsidR="008E3587" w:rsidRPr="008E3587" w:rsidRDefault="008E3587" w:rsidP="004A24D0">
      <w:pPr>
        <w:pStyle w:val="08paragraf"/>
        <w:ind w:firstLine="284"/>
        <w:rPr>
          <w:lang w:val="en-US"/>
        </w:rPr>
      </w:pPr>
      <w:r w:rsidRPr="008E3587">
        <w:rPr>
          <w:lang w:val="en-US"/>
        </w:rPr>
        <w:t xml:space="preserve">Pengalaman positif dari </w:t>
      </w:r>
      <w:r>
        <w:rPr>
          <w:lang w:val="en-US"/>
        </w:rPr>
        <w:t xml:space="preserve">daerah </w:t>
      </w:r>
      <w:r w:rsidR="003E6565">
        <w:rPr>
          <w:lang w:val="en-US"/>
        </w:rPr>
        <w:t xml:space="preserve">yang sudah </w:t>
      </w:r>
      <w:r w:rsidRPr="008E3587">
        <w:rPr>
          <w:lang w:val="en-US"/>
        </w:rPr>
        <w:t xml:space="preserve">maju dengan pertumbuhan industri menyiratkan bahwa, </w:t>
      </w:r>
      <w:r w:rsidR="003E6565">
        <w:rPr>
          <w:lang w:val="en-US"/>
        </w:rPr>
        <w:t xml:space="preserve">daerah yang masih </w:t>
      </w:r>
      <w:r w:rsidRPr="008E3587">
        <w:rPr>
          <w:lang w:val="en-US"/>
        </w:rPr>
        <w:t xml:space="preserve">berkembang harus fokus pada merumuskan kebijakan yang efektif untuk mempromosikan sektor industri untuk mencapai pembangunan ekonomi yang cepat. Meskipun </w:t>
      </w:r>
      <w:r w:rsidR="003E6565">
        <w:rPr>
          <w:lang w:val="en-US"/>
        </w:rPr>
        <w:t xml:space="preserve">Sumatera Utara </w:t>
      </w:r>
      <w:r w:rsidRPr="008E3587">
        <w:rPr>
          <w:lang w:val="en-US"/>
        </w:rPr>
        <w:t>telah menunjukkan peningkatan pertumbuhan industri dalam beberapa tahun terakhir, masih penting untuk mengetahui faktor-faktor yang paling vital untuk pengembangan industri dan pertumbuhan ekonomi di kawasan tersebut.</w:t>
      </w:r>
    </w:p>
    <w:p w:rsidR="001A269C" w:rsidRDefault="001A269C" w:rsidP="004A24D0">
      <w:pPr>
        <w:pStyle w:val="08paragraf"/>
        <w:ind w:firstLine="284"/>
        <w:rPr>
          <w:lang w:val="en-US"/>
        </w:rPr>
      </w:pPr>
      <w:r>
        <w:rPr>
          <w:lang w:val="en-US"/>
        </w:rPr>
        <w:t xml:space="preserve">Berdasarkan dari latar belakang masalah yang diuraikan maka dirumuskan permasalahan dalam penelitian ini adalah: Berapa besar </w:t>
      </w:r>
      <w:r w:rsidR="00E57E69" w:rsidRPr="00E57E69">
        <w:t xml:space="preserve">faktor penentu utama dari </w:t>
      </w:r>
      <w:r w:rsidR="00E57E69" w:rsidRPr="001B3F7D">
        <w:rPr>
          <w:lang w:val="en-US"/>
        </w:rPr>
        <w:t xml:space="preserve">pertumbuhan </w:t>
      </w:r>
      <w:r w:rsidR="00E57E69" w:rsidRPr="00E57E69">
        <w:t xml:space="preserve">industri </w:t>
      </w:r>
      <w:r w:rsidR="00E57E69" w:rsidRPr="001B3F7D">
        <w:rPr>
          <w:lang w:val="en-US"/>
        </w:rPr>
        <w:t>di Sumatera Utara</w:t>
      </w:r>
      <w:r>
        <w:rPr>
          <w:lang w:val="en-US"/>
        </w:rPr>
        <w:t xml:space="preserve"> </w:t>
      </w:r>
      <w:r w:rsidR="00E57E69" w:rsidRPr="00E57E69">
        <w:lastRenderedPageBreak/>
        <w:t xml:space="preserve">dan </w:t>
      </w:r>
      <w:r>
        <w:rPr>
          <w:lang w:val="en-US"/>
        </w:rPr>
        <w:t>kebijakan apa saja yang dapat di</w:t>
      </w:r>
      <w:r w:rsidR="00E57E69" w:rsidRPr="00E57E69">
        <w:t>rekomendasi</w:t>
      </w:r>
      <w:r>
        <w:rPr>
          <w:lang w:val="en-US"/>
        </w:rPr>
        <w:t>?</w:t>
      </w:r>
    </w:p>
    <w:p w:rsidR="000A536E" w:rsidRDefault="000A536E" w:rsidP="004A24D0">
      <w:pPr>
        <w:pStyle w:val="08paragraf"/>
        <w:ind w:firstLine="284"/>
      </w:pPr>
      <w:r>
        <w:tab/>
      </w:r>
    </w:p>
    <w:p w:rsidR="000A536E" w:rsidRPr="000A536E" w:rsidRDefault="000A536E" w:rsidP="004A24D0">
      <w:pPr>
        <w:pStyle w:val="08paragraf"/>
        <w:ind w:firstLine="0"/>
        <w:rPr>
          <w:b/>
        </w:rPr>
      </w:pPr>
      <w:r w:rsidRPr="000A536E">
        <w:rPr>
          <w:b/>
        </w:rPr>
        <w:t>KAJIAN PUSTAKA</w:t>
      </w:r>
    </w:p>
    <w:p w:rsidR="009304E8" w:rsidRDefault="0046371C" w:rsidP="004A24D0">
      <w:pPr>
        <w:pStyle w:val="07bsubsubjuduldibawahparagraf"/>
        <w:spacing w:before="0"/>
        <w:ind w:firstLine="284"/>
        <w:rPr>
          <w:b w:val="0"/>
          <w:spacing w:val="-7"/>
          <w:szCs w:val="20"/>
          <w:lang w:val="en-US"/>
        </w:rPr>
      </w:pPr>
      <w:r>
        <w:rPr>
          <w:b w:val="0"/>
          <w:spacing w:val="-7"/>
          <w:szCs w:val="20"/>
          <w:lang w:val="en-US"/>
        </w:rPr>
        <w:t>U</w:t>
      </w:r>
      <w:r w:rsidRPr="0046371C">
        <w:rPr>
          <w:b w:val="0"/>
          <w:spacing w:val="-7"/>
          <w:szCs w:val="20"/>
        </w:rPr>
        <w:t xml:space="preserve">ntuk merancang kebijakan industri yang kondusif bagi pengembangan industri, prasyarat untuk mengetahui faktor-faktor apa yang mendorong industrialisasi. Banyak penelitian sebelumnya lebih berfokus pada pendapatan per kapita dan pertumbuhan populasi sebagai faktor paling penting untuk pertumbuhan industri. Namun, sekarang di era globalisasi dan kemajuan teknis perlu untuk mempelajari lebih banyak faktor ekonomi bersama dengan faktor-faktor politik untuk merumuskan pertumbuhan industri yang efektif dan strategi pembangunan. </w:t>
      </w:r>
    </w:p>
    <w:p w:rsidR="009304E8" w:rsidRDefault="009304E8" w:rsidP="009304E8">
      <w:pPr>
        <w:pStyle w:val="07bsubsubjuduldibawahparagraf"/>
        <w:spacing w:before="0"/>
        <w:rPr>
          <w:b w:val="0"/>
          <w:spacing w:val="-7"/>
          <w:szCs w:val="20"/>
          <w:lang w:val="en-US"/>
        </w:rPr>
      </w:pPr>
    </w:p>
    <w:p w:rsidR="00DB5425" w:rsidRPr="00B1320A" w:rsidRDefault="00B1320A" w:rsidP="009304E8">
      <w:pPr>
        <w:pStyle w:val="07bsubsubjuduldibawahparagraf"/>
        <w:spacing w:before="0"/>
        <w:rPr>
          <w:lang w:val="en-US"/>
        </w:rPr>
      </w:pPr>
      <w:r>
        <w:rPr>
          <w:lang w:val="en-US"/>
        </w:rPr>
        <w:t>Konsep Industri</w:t>
      </w:r>
    </w:p>
    <w:p w:rsidR="00A12FA3" w:rsidRPr="00BD2967" w:rsidRDefault="00A12FA3" w:rsidP="004A24D0">
      <w:pPr>
        <w:autoSpaceDE w:val="0"/>
        <w:autoSpaceDN w:val="0"/>
        <w:adjustRightInd w:val="0"/>
        <w:spacing w:line="360" w:lineRule="auto"/>
        <w:ind w:firstLine="284"/>
        <w:rPr>
          <w:sz w:val="22"/>
          <w:szCs w:val="22"/>
        </w:rPr>
      </w:pPr>
      <w:r w:rsidRPr="00BD2967">
        <w:rPr>
          <w:spacing w:val="-7"/>
          <w:sz w:val="22"/>
          <w:szCs w:val="22"/>
        </w:rPr>
        <w:t>Kinerja sektor industri suatu ekonomi adalah penentu utama pertumbuhan dan perkembangannya. Negara-negara berkembang dengan sektor industri yang kompetitif dan berkelanjutan tumbuh pada tingkat yang lebih cepat dibandingkan dengan negara-negara lain. Keuntungan dari pertumbuhan industri didokumentasikan dengan baik dalam literatur, ini termasuk akumulasi modal, diversifikasi ekonomi, pengurangan pengangguran, transfer teknologi dan pembangunan berkelanjutan</w:t>
      </w:r>
      <w:r w:rsidR="00B1320A" w:rsidRPr="00BD2967">
        <w:rPr>
          <w:sz w:val="22"/>
          <w:szCs w:val="22"/>
        </w:rPr>
        <w:t>.</w:t>
      </w:r>
      <w:r w:rsidRPr="00BD2967">
        <w:rPr>
          <w:sz w:val="22"/>
          <w:szCs w:val="22"/>
        </w:rPr>
        <w:t xml:space="preserve"> </w:t>
      </w:r>
      <w:r w:rsidRPr="00BD2967">
        <w:rPr>
          <w:sz w:val="22"/>
          <w:szCs w:val="22"/>
        </w:rPr>
        <w:fldChar w:fldCharType="begin" w:fldLock="1"/>
      </w:r>
      <w:r w:rsidRPr="00BD2967">
        <w:rPr>
          <w:sz w:val="22"/>
          <w:szCs w:val="22"/>
        </w:rPr>
        <w:instrText>ADDIN CSL_CITATION {"citationItems":[{"id":"ITEM-1","itemData":{"DOI":"10.19044/esj.2016.v12n10p%p","ISSN":"18577881","abstract":"In this paper, we run dynamic panel model describing the relationship between industrialization and different socio-economic, financial and institutional determinants for 35 African countries over the period 1970- 2012. We conduct also sub-regional and sub-period analysis in order to check the robustness of the results. Our main results are the following: (i) As generally found in the literature, Human capital, Labor Market conditions, Real Effective Exchange Rate and GDP per capita are clear determinants of industrialization in Africa; (ii) The determinants of industrialization vary between regions in the continent and evolve over time; (iii) policy interdependencies are significant and positive for industrialization in Africa.","author":[{"dropping-particle":"","family":"Samouel","given":"Beji","non-dropping-particle":"","parse-names":false,"suffix":""},{"dropping-particle":"","family":"Samouel","given":"Beji","non-dropping-particle":"","parse-names":false,"suffix":""},{"dropping-particle":"","family":"Aram","given":"Belhadj","non-dropping-particle":"","parse-names":false,"suffix":""}],"container-title":"European Scientific Journal, ESJ","id":"ITEM-1","issue":"10","issued":{"date-parts":[["2016"]]},"page":"219-239","title":"The Determinants Of Industrialization: Empirical Evidence For Africa","type":"article-journal","volume":"12"},"uris":["http://www.mendeley.com/documents/?uuid=b163a993-c13b-4c9e-b471-a309d58e6397"]}],"mendeley":{"formattedCitation":"(Samouel, Samouel, &amp; Aram, 2016)","plainTextFormattedCitation":"(Samouel, Samouel, &amp; Aram, 2016)","previouslyFormattedCitation":"(Samouel, Samouel, &amp; Aram, 2016)"},"properties":{"noteIndex":0},"schema":"https://github.com/citation-style-language/schema/raw/master/csl-citation.json"}</w:instrText>
      </w:r>
      <w:r w:rsidRPr="00BD2967">
        <w:rPr>
          <w:sz w:val="22"/>
          <w:szCs w:val="22"/>
        </w:rPr>
        <w:fldChar w:fldCharType="separate"/>
      </w:r>
      <w:r w:rsidRPr="00BD2967">
        <w:rPr>
          <w:noProof/>
          <w:sz w:val="22"/>
          <w:szCs w:val="22"/>
        </w:rPr>
        <w:t>(Samouel, Samouel, &amp; Aram, 2016)</w:t>
      </w:r>
      <w:r w:rsidRPr="00BD2967">
        <w:rPr>
          <w:sz w:val="22"/>
          <w:szCs w:val="22"/>
        </w:rPr>
        <w:fldChar w:fldCharType="end"/>
      </w:r>
      <w:r w:rsidR="00B1320A" w:rsidRPr="00BD2967">
        <w:rPr>
          <w:sz w:val="22"/>
          <w:szCs w:val="22"/>
        </w:rPr>
        <w:t xml:space="preserve"> </w:t>
      </w:r>
    </w:p>
    <w:p w:rsidR="00A12FA3" w:rsidRPr="00BD2967" w:rsidRDefault="00A12FA3" w:rsidP="004A24D0">
      <w:pPr>
        <w:pStyle w:val="08paragraf"/>
        <w:ind w:firstLine="284"/>
        <w:rPr>
          <w:szCs w:val="22"/>
          <w:lang w:val="en-US"/>
        </w:rPr>
      </w:pPr>
      <w:r w:rsidRPr="00BD2967">
        <w:rPr>
          <w:szCs w:val="22"/>
          <w:lang w:val="en-US"/>
        </w:rPr>
        <w:t xml:space="preserve">Pertumbuhan industri yang lebih tinggi dan kinerja ekonomi membantu untuk mencapai surplus yang lebih tinggi yang dapat diinvestasikan lebih lanjut untuk mendorong perekonomian dan bahkan membantu dalam pemanfaatan sumber daya yang langka secara efisien. Pertumbuhan di sektor industri juga memiliki efek </w:t>
      </w:r>
      <w:r w:rsidRPr="00BD2967">
        <w:rPr>
          <w:i/>
          <w:szCs w:val="22"/>
          <w:lang w:val="en-US"/>
        </w:rPr>
        <w:t>spill-over</w:t>
      </w:r>
      <w:r w:rsidRPr="00BD2967">
        <w:rPr>
          <w:szCs w:val="22"/>
          <w:lang w:val="en-US"/>
        </w:rPr>
        <w:t xml:space="preserve"> yang positif untuk sektor ekonomi non-industri, hal ini menciptakan </w:t>
      </w:r>
      <w:r w:rsidRPr="00BD2967">
        <w:rPr>
          <w:szCs w:val="22"/>
          <w:lang w:val="en-US"/>
        </w:rPr>
        <w:lastRenderedPageBreak/>
        <w:t>permintaan untuk produk pertanian yang digunakan sebagai bahan baku dan memfasilitasi sektor jasa dengan menyediakan produk teknologi canggih yang meningkatkan efisiensi. Dengan demikian pertumbuhan sektor ini sangat penting untuk pengembangan ekonomi nasional.</w:t>
      </w:r>
    </w:p>
    <w:p w:rsidR="00A12FA3" w:rsidRPr="00BD2967" w:rsidRDefault="008E3587" w:rsidP="004A24D0">
      <w:pPr>
        <w:pStyle w:val="08paragraf"/>
        <w:ind w:firstLine="284"/>
        <w:rPr>
          <w:szCs w:val="22"/>
          <w:lang w:val="en-US"/>
        </w:rPr>
      </w:pPr>
      <w:r w:rsidRPr="00BD2967">
        <w:rPr>
          <w:szCs w:val="22"/>
          <w:lang w:val="en-US"/>
        </w:rPr>
        <w:fldChar w:fldCharType="begin" w:fldLock="1"/>
      </w:r>
      <w:r w:rsidR="001C45C4" w:rsidRPr="00BD2967">
        <w:rPr>
          <w:szCs w:val="22"/>
          <w:lang w:val="en-US"/>
        </w:rPr>
        <w:instrText>ADDIN CSL_CITATION {"citationItems":[{"id":"ITEM-1","itemData":{"DOI":"10.1111/j.1467-629x.1984.tb00054.x","abstract":"Countries that accede to the European Union face a complex and urgent task to adopt and implement the acquis communautaire on food safety. For the food industries in such countries, this implies that the European Union’s standards of food production and processing, food quality and safety have to be met in order to ensure a high level of consumer protection and satisfaction. The purpose of this paper is to assess the level of food safety performance in one Accession Country, Hungary, in one food sector (the fresh produce importing chain), and to evaluate the capacity of the system to demonstrate quality assurance to the satisfaction of private customers and public regulators. The analysis of food safety performance has been undertaken through gap analysis using a novel application of a benchmarking methodology taking the United Kingdom fresh produce importing chain as the benchmark. The insights are relevant to other Accession Countries and to other Candidate Countries for European Union enlargement.","author":[{"dropping-particle":"","family":"Guadagno","given":"Francesca","non-dropping-particle":"","parse-names":false,"suffix":""}],"container-title":"Accounting &amp; Finance","id":"ITEM-1","issue":"1","issued":{"date-parts":[["2016"]]},"page":"75-75","title":"The determinants of industrialisation in developing countries, 1960‐2005","type":"article-journal","volume":"24"},"uris":["http://www.mendeley.com/documents/?uuid=7230ced5-3895-4e0c-82e2-ffb524f6b659"]}],"mendeley":{"formattedCitation":"(Guadagno, 2016)","plainTextFormattedCitation":"(Guadagno, 2016)","previouslyFormattedCitation":"(Guadagno, 2016)"},"properties":{"noteIndex":0},"schema":"https://github.com/citation-style-language/schema/raw/master/csl-citation.json"}</w:instrText>
      </w:r>
      <w:r w:rsidRPr="00BD2967">
        <w:rPr>
          <w:szCs w:val="22"/>
          <w:lang w:val="en-US"/>
        </w:rPr>
        <w:fldChar w:fldCharType="separate"/>
      </w:r>
      <w:r w:rsidRPr="00BD2967">
        <w:rPr>
          <w:noProof/>
          <w:szCs w:val="22"/>
          <w:lang w:val="en-US"/>
        </w:rPr>
        <w:t>(Guadagno, 2016)</w:t>
      </w:r>
      <w:r w:rsidRPr="00BD2967">
        <w:rPr>
          <w:szCs w:val="22"/>
          <w:lang w:val="en-US"/>
        </w:rPr>
        <w:fldChar w:fldCharType="end"/>
      </w:r>
      <w:r w:rsidR="00A12FA3" w:rsidRPr="00BD2967">
        <w:rPr>
          <w:szCs w:val="22"/>
          <w:lang w:val="en-US"/>
        </w:rPr>
        <w:t>, mendasarkan pada model Cornwall (1977) untuk memperkirakan persamaan pertumbuhan manufaktur untuk sampel negara-negara berkembang, menunjukkan bahwa ukuran pasar domestik serta keterbukaan perdagangan adalah faktor penentu konstan industrialisasi.</w:t>
      </w:r>
    </w:p>
    <w:p w:rsidR="001C45C4" w:rsidRPr="00F30830" w:rsidRDefault="001C45C4" w:rsidP="00DB5425">
      <w:pPr>
        <w:pStyle w:val="08paragraf"/>
        <w:rPr>
          <w:lang w:val="en-US"/>
        </w:rPr>
      </w:pPr>
    </w:p>
    <w:p w:rsidR="001C45C4" w:rsidRPr="001C45C4" w:rsidRDefault="001C45C4" w:rsidP="001C45C4">
      <w:pPr>
        <w:pStyle w:val="08paragraf"/>
        <w:ind w:firstLine="0"/>
        <w:rPr>
          <w:b/>
          <w:lang w:val="en-US"/>
        </w:rPr>
      </w:pPr>
      <w:r w:rsidRPr="001C45C4">
        <w:rPr>
          <w:b/>
          <w:lang w:val="en-US"/>
        </w:rPr>
        <w:t>Sumber daya manusia</w:t>
      </w:r>
    </w:p>
    <w:p w:rsidR="009A13EA" w:rsidRDefault="001C45C4" w:rsidP="00BD2967">
      <w:pPr>
        <w:pStyle w:val="08paragraf"/>
        <w:ind w:firstLine="284"/>
        <w:rPr>
          <w:lang w:val="en-US"/>
        </w:rPr>
      </w:pPr>
      <w:r w:rsidRPr="001C45C4">
        <w:rPr>
          <w:lang w:val="en-US"/>
        </w:rPr>
        <w:t xml:space="preserve">Pengembangan sumber daya manusia dalam bentuk personel yang memenuhi syarat secara teknis dan ilmiah memungkinkan untuk mengatasi peningkatan permintaan dan pengembangan industri. Memang, menciptakan aset nasional yang tidak bergerak, terutama melalui pendidikan, pelatihan dan pengeluaran perawatan kesehatan dapat memberikan dasar bagi sektor industri yang kompetitif dan meningkatkan daya tarik investasi. Oleh karena itu, meningkatkan dukungan pemerintah untuk pendidikan, meningkatkan pelatihan kejuruan dan menjamin akses ke perawatan kesehatan adalah prasyarat untuk segala bentuk industrialisasi. </w:t>
      </w:r>
    </w:p>
    <w:p w:rsidR="001C45C4" w:rsidRDefault="001C45C4" w:rsidP="009A13EA">
      <w:pPr>
        <w:pStyle w:val="08paragraf"/>
        <w:ind w:firstLine="0"/>
        <w:rPr>
          <w:lang w:val="en-US"/>
        </w:rPr>
      </w:pPr>
    </w:p>
    <w:p w:rsidR="0019378C" w:rsidRDefault="0019378C" w:rsidP="009A13EA">
      <w:pPr>
        <w:pStyle w:val="08paragraf"/>
        <w:ind w:firstLine="0"/>
        <w:rPr>
          <w:b/>
          <w:lang w:val="en-US"/>
        </w:rPr>
      </w:pPr>
      <w:r>
        <w:rPr>
          <w:b/>
          <w:lang w:val="en-US"/>
        </w:rPr>
        <w:t>Pertumbuhan Ekonomi</w:t>
      </w:r>
    </w:p>
    <w:p w:rsidR="006E135F" w:rsidRPr="006E135F" w:rsidRDefault="00DD7BD7" w:rsidP="00BD2967">
      <w:pPr>
        <w:spacing w:line="360" w:lineRule="auto"/>
        <w:ind w:firstLine="284"/>
        <w:rPr>
          <w:sz w:val="22"/>
          <w:szCs w:val="22"/>
        </w:rPr>
      </w:pPr>
      <w:r>
        <w:rPr>
          <w:sz w:val="22"/>
          <w:szCs w:val="22"/>
        </w:rPr>
        <w:fldChar w:fldCharType="begin" w:fldLock="1"/>
      </w:r>
      <w:r w:rsidR="00CC64B8">
        <w:rPr>
          <w:sz w:val="22"/>
          <w:szCs w:val="22"/>
        </w:rPr>
        <w:instrText>ADDIN CSL_CITATION {"citationItems":[{"id":"ITEM-1","itemData":{"author":[{"dropping-particle":"","family":"Adisasmita","given":"Rahardjo","non-dropping-particle":"","parse-names":false,"suffix":""}],"id":"ITEM-1","issued":{"date-parts":[["2013"]]},"number-of-pages":"133 hlm","publisher":"Yogyakarta: Graha Ilmu","publisher-place":"Yogyakarta","title":"Teori-teori Pembangunan Ekonomi Pertumbuhan Ekonomi dan Pertumbuhan Wilayah","type":"book"},"uris":["http://www.mendeley.com/documents/?uuid=5c08fa96-9c34-4358-bc7f-5b8cbcdda222"]}],"mendeley":{"formattedCitation":"(Adisasmita, 2013)","plainTextFormattedCitation":"(Adisasmita, 2013)","previouslyFormattedCitation":"(Adisasmita, 2013)"},"properties":{"noteIndex":0},"schema":"https://github.com/citation-style-language/schema/raw/master/csl-citation.json"}</w:instrText>
      </w:r>
      <w:r>
        <w:rPr>
          <w:sz w:val="22"/>
          <w:szCs w:val="22"/>
        </w:rPr>
        <w:fldChar w:fldCharType="separate"/>
      </w:r>
      <w:r w:rsidRPr="00DD7BD7">
        <w:rPr>
          <w:noProof/>
          <w:sz w:val="22"/>
          <w:szCs w:val="22"/>
        </w:rPr>
        <w:t>(Adisasmita, 2013)</w:t>
      </w:r>
      <w:r>
        <w:rPr>
          <w:sz w:val="22"/>
          <w:szCs w:val="22"/>
        </w:rPr>
        <w:fldChar w:fldCharType="end"/>
      </w:r>
      <w:r w:rsidR="006E135F" w:rsidRPr="006E135F">
        <w:rPr>
          <w:sz w:val="22"/>
          <w:szCs w:val="22"/>
        </w:rPr>
        <w:t xml:space="preserve"> berpendapat bahwa indikator yang dipergunakan untuk mengukur pertumbuhan ekonomi adalah tingkat pertumbuhan Produk Domestik Regional Bruto (PDRB). Alasan yang mendasari pemilihan PDRB sebagai suatu indikator mengukur pertumbuhan ekonomi adalah:</w:t>
      </w:r>
    </w:p>
    <w:p w:rsidR="006E135F" w:rsidRPr="006E135F" w:rsidRDefault="006E135F" w:rsidP="00BD2967">
      <w:pPr>
        <w:widowControl/>
        <w:numPr>
          <w:ilvl w:val="0"/>
          <w:numId w:val="23"/>
        </w:numPr>
        <w:tabs>
          <w:tab w:val="clear" w:pos="720"/>
        </w:tabs>
        <w:spacing w:line="360" w:lineRule="auto"/>
        <w:ind w:left="284" w:hanging="284"/>
        <w:rPr>
          <w:sz w:val="22"/>
          <w:szCs w:val="22"/>
        </w:rPr>
      </w:pPr>
      <w:r w:rsidRPr="006E135F">
        <w:rPr>
          <w:sz w:val="22"/>
          <w:szCs w:val="22"/>
        </w:rPr>
        <w:lastRenderedPageBreak/>
        <w:t>PDRB adalah jumlah nilai tambah yang dihasilkan oleh seluruh aktivitas produksi di dalam perekonomian daerah. Hal ini berarti peningkatan PDRB mencerminkan pula peningkatan balas jasa kepada faktor produksi yang digunakan dalam aktivitas produksi tersebut. </w:t>
      </w:r>
    </w:p>
    <w:p w:rsidR="006E135F" w:rsidRPr="006E135F" w:rsidRDefault="006E135F" w:rsidP="00BD2967">
      <w:pPr>
        <w:widowControl/>
        <w:numPr>
          <w:ilvl w:val="0"/>
          <w:numId w:val="23"/>
        </w:numPr>
        <w:tabs>
          <w:tab w:val="clear" w:pos="720"/>
        </w:tabs>
        <w:spacing w:line="360" w:lineRule="auto"/>
        <w:ind w:left="284" w:hanging="284"/>
        <w:rPr>
          <w:sz w:val="22"/>
          <w:szCs w:val="22"/>
        </w:rPr>
      </w:pPr>
      <w:r w:rsidRPr="006E135F">
        <w:rPr>
          <w:sz w:val="22"/>
          <w:szCs w:val="22"/>
        </w:rPr>
        <w:t>PDRB dihitung atas dasar konsep arus barang, artinya perhitungan PDRB hanya mencakup nilai produk yang dihasilkan pada suatu periode tertentu. Aliran konsep ini memungkinkan kita untuk membandingkan jumlah output yang dihasilkan pada tahun ini dengan tahun sebelumnya. </w:t>
      </w:r>
    </w:p>
    <w:p w:rsidR="006E135F" w:rsidRPr="006E135F" w:rsidRDefault="006E135F" w:rsidP="00BD2967">
      <w:pPr>
        <w:widowControl/>
        <w:numPr>
          <w:ilvl w:val="0"/>
          <w:numId w:val="23"/>
        </w:numPr>
        <w:tabs>
          <w:tab w:val="clear" w:pos="720"/>
        </w:tabs>
        <w:spacing w:line="360" w:lineRule="auto"/>
        <w:ind w:left="284" w:hanging="284"/>
        <w:rPr>
          <w:sz w:val="22"/>
          <w:szCs w:val="22"/>
        </w:rPr>
      </w:pPr>
      <w:r w:rsidRPr="006E135F">
        <w:rPr>
          <w:sz w:val="22"/>
          <w:szCs w:val="22"/>
        </w:rPr>
        <w:t>Batas wilayah perhitungan PDRB adalah daerah (perekonomian domestik). Hal ini memungkinkan untuk mengukur sejauh mana kebijakan-kebijakan ekonomi yang diterapkan pemerintah mampu mendorong aktivitas perekonomian domestik.</w:t>
      </w:r>
    </w:p>
    <w:p w:rsidR="00CC64B8" w:rsidRPr="00544365" w:rsidRDefault="00CC64B8" w:rsidP="00CC64B8">
      <w:pPr>
        <w:spacing w:line="360" w:lineRule="auto"/>
        <w:ind w:firstLine="284"/>
        <w:rPr>
          <w:spacing w:val="-7"/>
          <w:sz w:val="22"/>
          <w:szCs w:val="22"/>
        </w:rPr>
      </w:pPr>
      <w:r w:rsidRPr="00544365">
        <w:rPr>
          <w:spacing w:val="-7"/>
          <w:sz w:val="22"/>
          <w:szCs w:val="22"/>
        </w:rPr>
        <w:t xml:space="preserve">Menurut </w:t>
      </w:r>
      <w:r w:rsidRPr="00544365">
        <w:rPr>
          <w:spacing w:val="-7"/>
          <w:sz w:val="22"/>
          <w:szCs w:val="22"/>
        </w:rPr>
        <w:fldChar w:fldCharType="begin" w:fldLock="1"/>
      </w:r>
      <w:r w:rsidR="00316A97" w:rsidRPr="00544365">
        <w:rPr>
          <w:spacing w:val="-7"/>
          <w:sz w:val="22"/>
          <w:szCs w:val="22"/>
        </w:rPr>
        <w:instrText>ADDIN CSL_CITATION {"citationItems":[{"id":"ITEM-1","itemData":{"author":[{"dropping-particle":"","family":"Lincolin Arsyad","given":"","non-dropping-particle":"","parse-names":false,"suffix":""}],"edition":"Kelima","id":"ITEM-1","issued":{"date-parts":[["2010"]]},"publisher":"UPP STIM YKPN","publisher-place":"Yogyakarta","title":"Ekonomi Pembangunan","type":"book"},"uris":["http://www.mendeley.com/documents/?uuid=b87a967c-f94b-43f4-a6b9-4a9248523dd7"]}],"mendeley":{"formattedCitation":"(Lincolin Arsyad, 2010)","plainTextFormattedCitation":"(Lincolin Arsyad, 2010)","previouslyFormattedCitation":"(Lincolin Arsyad, 2010)"},"properties":{"noteIndex":0},"schema":"https://github.com/citation-style-language/schema/raw/master/csl-citation.json"}</w:instrText>
      </w:r>
      <w:r w:rsidRPr="00544365">
        <w:rPr>
          <w:spacing w:val="-7"/>
          <w:sz w:val="22"/>
          <w:szCs w:val="22"/>
        </w:rPr>
        <w:fldChar w:fldCharType="separate"/>
      </w:r>
      <w:r w:rsidRPr="00544365">
        <w:rPr>
          <w:noProof/>
          <w:spacing w:val="-7"/>
          <w:sz w:val="22"/>
          <w:szCs w:val="22"/>
        </w:rPr>
        <w:t>(Lincolin Arsyad, 2010)</w:t>
      </w:r>
      <w:r w:rsidRPr="00544365">
        <w:rPr>
          <w:spacing w:val="-7"/>
          <w:sz w:val="22"/>
          <w:szCs w:val="22"/>
        </w:rPr>
        <w:fldChar w:fldCharType="end"/>
      </w:r>
      <w:r w:rsidRPr="00544365">
        <w:rPr>
          <w:spacing w:val="-7"/>
          <w:sz w:val="22"/>
          <w:szCs w:val="22"/>
        </w:rPr>
        <w:t xml:space="preserve"> Teori Pertumbuhan Ekonomi, antara lain: </w:t>
      </w:r>
    </w:p>
    <w:p w:rsidR="00CC64B8" w:rsidRPr="00544365" w:rsidRDefault="00CC64B8" w:rsidP="006D5061">
      <w:pPr>
        <w:pStyle w:val="ListParagraph"/>
        <w:numPr>
          <w:ilvl w:val="0"/>
          <w:numId w:val="29"/>
        </w:numPr>
        <w:spacing w:after="0" w:line="360" w:lineRule="auto"/>
        <w:ind w:left="284" w:hanging="284"/>
        <w:jc w:val="both"/>
        <w:rPr>
          <w:rFonts w:ascii="Times New Roman" w:hAnsi="Times New Roman"/>
          <w:spacing w:val="-7"/>
        </w:rPr>
      </w:pPr>
      <w:r w:rsidRPr="00544365">
        <w:rPr>
          <w:rFonts w:ascii="Times New Roman" w:hAnsi="Times New Roman"/>
          <w:spacing w:val="-7"/>
        </w:rPr>
        <w:t xml:space="preserve">Teori Ekonomi klasik pertumbuhan ekonomi dipengaruhi oleh dua faktor utama yakni pertumbuhan output total dan pertumbuhan penduduk . Unsur pokok dari sistem produksi suatu negara ada tiga: </w:t>
      </w:r>
    </w:p>
    <w:p w:rsidR="00CC64B8" w:rsidRPr="00544365" w:rsidRDefault="00CC64B8" w:rsidP="006D5061">
      <w:pPr>
        <w:pStyle w:val="ListParagraph"/>
        <w:numPr>
          <w:ilvl w:val="1"/>
          <w:numId w:val="31"/>
        </w:numPr>
        <w:spacing w:after="0" w:line="360" w:lineRule="auto"/>
        <w:ind w:left="568" w:hanging="284"/>
        <w:jc w:val="both"/>
        <w:rPr>
          <w:rFonts w:ascii="Times New Roman" w:hAnsi="Times New Roman"/>
          <w:spacing w:val="-7"/>
        </w:rPr>
      </w:pPr>
      <w:r w:rsidRPr="00544365">
        <w:rPr>
          <w:rFonts w:ascii="Times New Roman" w:hAnsi="Times New Roman"/>
          <w:spacing w:val="-7"/>
        </w:rPr>
        <w:t>Sumber daya alam yang tersedia merupakan wadah paling mendasar dari kegiatan produksi suatu masyarakat dimana jumlah sumber daya alam yang tersedia mempunyai batas maksimum bagi pertumbuhan suatu perekonomian.</w:t>
      </w:r>
    </w:p>
    <w:p w:rsidR="00CC64B8" w:rsidRPr="00544365" w:rsidRDefault="00CC64B8" w:rsidP="006D5061">
      <w:pPr>
        <w:pStyle w:val="ListParagraph"/>
        <w:numPr>
          <w:ilvl w:val="1"/>
          <w:numId w:val="31"/>
        </w:numPr>
        <w:spacing w:after="0" w:line="360" w:lineRule="auto"/>
        <w:ind w:left="568" w:hanging="284"/>
        <w:jc w:val="both"/>
        <w:rPr>
          <w:rFonts w:ascii="Times New Roman" w:hAnsi="Times New Roman"/>
          <w:spacing w:val="-7"/>
        </w:rPr>
      </w:pPr>
      <w:r w:rsidRPr="00544365">
        <w:rPr>
          <w:rFonts w:ascii="Times New Roman" w:hAnsi="Times New Roman"/>
          <w:spacing w:val="-7"/>
        </w:rPr>
        <w:t xml:space="preserve">Sumber daya insani (jumlah penduduk) merupakan peran pasif dalam proses pertumbuhan output, maksudnya jumlah </w:t>
      </w:r>
      <w:r w:rsidRPr="00544365">
        <w:rPr>
          <w:rFonts w:ascii="Times New Roman" w:hAnsi="Times New Roman"/>
          <w:spacing w:val="-7"/>
        </w:rPr>
        <w:lastRenderedPageBreak/>
        <w:t>penduduk akan menyesuaikan dengan kebutuhan akan tenaga kerja.</w:t>
      </w:r>
    </w:p>
    <w:p w:rsidR="00CC64B8" w:rsidRPr="00544365" w:rsidRDefault="00CC64B8" w:rsidP="006D5061">
      <w:pPr>
        <w:pStyle w:val="ListParagraph"/>
        <w:numPr>
          <w:ilvl w:val="1"/>
          <w:numId w:val="31"/>
        </w:numPr>
        <w:spacing w:after="0" w:line="360" w:lineRule="auto"/>
        <w:ind w:left="568" w:hanging="284"/>
        <w:jc w:val="both"/>
        <w:rPr>
          <w:rFonts w:ascii="Times New Roman" w:hAnsi="Times New Roman"/>
          <w:spacing w:val="-7"/>
        </w:rPr>
      </w:pPr>
      <w:r w:rsidRPr="00544365">
        <w:rPr>
          <w:rFonts w:ascii="Times New Roman" w:hAnsi="Times New Roman"/>
          <w:spacing w:val="-7"/>
        </w:rPr>
        <w:t xml:space="preserve">Stok modal merupakan unsur produksi yang sangat menentukan tingkat pertumbuhan output.  </w:t>
      </w:r>
    </w:p>
    <w:p w:rsidR="00CC64B8" w:rsidRPr="00544365" w:rsidRDefault="00CC64B8" w:rsidP="006D5061">
      <w:pPr>
        <w:pStyle w:val="ListParagraph"/>
        <w:numPr>
          <w:ilvl w:val="0"/>
          <w:numId w:val="29"/>
        </w:numPr>
        <w:spacing w:after="0" w:line="360" w:lineRule="auto"/>
        <w:ind w:left="284" w:hanging="284"/>
        <w:jc w:val="both"/>
        <w:rPr>
          <w:rFonts w:ascii="Times New Roman" w:hAnsi="Times New Roman"/>
          <w:spacing w:val="-7"/>
        </w:rPr>
      </w:pPr>
      <w:r w:rsidRPr="00544365">
        <w:rPr>
          <w:rFonts w:ascii="Times New Roman" w:hAnsi="Times New Roman"/>
          <w:spacing w:val="-7"/>
        </w:rPr>
        <w:t>Teori Pertumbuhan Neo Klasik Model Solow-Swan menggunakan unsur pertumbuhan penduduk, akumulasi kapital, dan besarnya output yang saling berinteraksi. SolowSwan menggunakan model fungsi produksi yang memungkinkan adanya substitusi antara kapital (K) dan tenaga kerja (L).</w:t>
      </w:r>
    </w:p>
    <w:p w:rsidR="00CC64B8" w:rsidRPr="00544365" w:rsidRDefault="00CC64B8" w:rsidP="00CC64B8">
      <w:pPr>
        <w:pStyle w:val="ListParagraph"/>
        <w:spacing w:after="0" w:line="360" w:lineRule="auto"/>
        <w:jc w:val="both"/>
        <w:rPr>
          <w:rFonts w:ascii="Times New Roman" w:hAnsi="Times New Roman"/>
          <w:spacing w:val="-7"/>
        </w:rPr>
      </w:pPr>
    </w:p>
    <w:p w:rsidR="009A13EA" w:rsidRPr="00544365" w:rsidRDefault="009A13EA" w:rsidP="009A13EA">
      <w:pPr>
        <w:pStyle w:val="08paragraf"/>
        <w:ind w:firstLine="0"/>
        <w:rPr>
          <w:b/>
          <w:szCs w:val="22"/>
          <w:lang w:val="en-US"/>
        </w:rPr>
      </w:pPr>
      <w:r w:rsidRPr="00544365">
        <w:rPr>
          <w:b/>
          <w:szCs w:val="22"/>
          <w:lang w:val="en-US"/>
        </w:rPr>
        <w:t>Reformasi Kebijakan Industri</w:t>
      </w:r>
    </w:p>
    <w:p w:rsidR="006D5061" w:rsidRPr="00544365" w:rsidRDefault="006D5061" w:rsidP="00544365">
      <w:pPr>
        <w:pStyle w:val="08paragraf"/>
        <w:ind w:firstLine="284"/>
        <w:rPr>
          <w:szCs w:val="22"/>
          <w:lang w:val="en-US"/>
        </w:rPr>
      </w:pPr>
      <w:r w:rsidRPr="00544365">
        <w:rPr>
          <w:szCs w:val="22"/>
          <w:lang w:val="en-US"/>
        </w:rPr>
        <w:t xml:space="preserve">Untuk mendukung pertumbuhan ekonomi dibutuhkan kerjasama yang baik antar sektor perekonomian terutama pada sektor industry yang memiliki peranan yang sangat penting dan perlu mendapat perhatian ekstra dalam pengambilan kebijakan dari pemerintah guna menciptkan perkembangan sektor industry yang dinamis dan tepat sasaran. </w:t>
      </w:r>
    </w:p>
    <w:p w:rsidR="001C45C4" w:rsidRPr="00544365" w:rsidRDefault="001C45C4" w:rsidP="00544365">
      <w:pPr>
        <w:pStyle w:val="08paragraf"/>
        <w:ind w:firstLine="284"/>
        <w:rPr>
          <w:szCs w:val="22"/>
          <w:lang w:val="en-US"/>
        </w:rPr>
      </w:pPr>
      <w:r w:rsidRPr="00544365">
        <w:rPr>
          <w:szCs w:val="22"/>
        </w:rPr>
        <w:fldChar w:fldCharType="begin" w:fldLock="1"/>
      </w:r>
      <w:r w:rsidR="00AC78BC" w:rsidRPr="00544365">
        <w:rPr>
          <w:szCs w:val="22"/>
        </w:rPr>
        <w:instrText>ADDIN CSL_CITATION {"citationItems":[{"id":"ITEM-1","itemData":{"abstract":"Industrial growth is imperative for socio-economic development of a state. It generates productive jobs, leads to capital accumulation, technological innovations and stirs up economic growth. This paper highlights the impact of political and economic factors on industrial growth using data from 1990 to 2015 for four South Asian countries: India, Pakistan, Sri Lanka and Bangladesh. The key findings from the fixed-effect panel data regression were that per capita income, foreign direct investment, trade openness, governance and government expenditure all have a significant and positive impact on industrial growth. This study is particularly important for Pakistan due to the initiative of China-Pakistan Economic Corridor (CPEC) that would open a lot of industrial investment avenues for the country. CPEC is a framework of regional connectivity, economic regionalization and industrial diversification with investments in major sectors of Pakistan’s economy. It is essential to formulate strategies that channel CPEC investments towards sectors that can act as catalysts for industrial growth and can put Pakistan on the path of rapid economic growth.","author":[{"dropping-particle":"","family":"Ejaz, Zara; Ullah, M. Aman; Khan","given":"Muhammad Usman","non-dropping-particle":"","parse-names":false,"suffix":""}],"id":"ITEM-1","issued":{"date-parts":[["2015"]]},"page":"97-110","title":"Determinants of Industrial Growth in South Asia: Evidence from Panel Data Analysis","type":"article-journal"},"uris":["http://www.mendeley.com/documents/?uuid=aeab70da-93e4-4192-a03d-1c0335d4466f"]}],"mendeley":{"formattedCitation":"(Ejaz, Zara; Ullah, M. Aman; Khan, 2015)","plainTextFormattedCitation":"(Ejaz, Zara; Ullah, M. Aman; Khan, 2015)","previouslyFormattedCitation":"(Ejaz, Zara; Ullah, M. Aman; Khan, 2015)"},"properties":{"noteIndex":0},"schema":"https://github.com/citation-style-language/schema/raw/master/csl-citation.json"}</w:instrText>
      </w:r>
      <w:r w:rsidRPr="00544365">
        <w:rPr>
          <w:szCs w:val="22"/>
        </w:rPr>
        <w:fldChar w:fldCharType="separate"/>
      </w:r>
      <w:r w:rsidRPr="00544365">
        <w:rPr>
          <w:noProof/>
          <w:szCs w:val="22"/>
        </w:rPr>
        <w:t>(Ejaz, Zara; Ullah, M. Aman; Khan, 2015)</w:t>
      </w:r>
      <w:r w:rsidRPr="00544365">
        <w:rPr>
          <w:szCs w:val="22"/>
        </w:rPr>
        <w:fldChar w:fldCharType="end"/>
      </w:r>
      <w:r w:rsidRPr="00544365">
        <w:rPr>
          <w:szCs w:val="22"/>
          <w:lang w:val="en-US"/>
        </w:rPr>
        <w:t xml:space="preserve"> Jadi, reformasi kebijakan harus memenuhi masalah kesenjangan pendapatan untuk pertumbuhan industri yang berkelanjutan yang dianalisis secara mendalam untuk mengidentifikasi faktor-faktor spesifik yang berkontribusi besar dalam pengembangan industri. Menetapkan pedoman kebijakan khusus dengan memasukkan faktor-faktor politik dan ekonomi yang penting dan menunjukkan dampaknya terhadap pertumbuhan industri.</w:t>
      </w:r>
    </w:p>
    <w:p w:rsidR="00B502B4" w:rsidRPr="00544365" w:rsidRDefault="00B7745B" w:rsidP="00544365">
      <w:pPr>
        <w:pStyle w:val="08paragraf"/>
        <w:ind w:firstLine="284"/>
        <w:rPr>
          <w:szCs w:val="22"/>
          <w:lang w:val="en-US"/>
        </w:rPr>
      </w:pPr>
      <w:r w:rsidRPr="00544365">
        <w:rPr>
          <w:szCs w:val="22"/>
        </w:rPr>
        <w:fldChar w:fldCharType="begin" w:fldLock="1"/>
      </w:r>
      <w:r w:rsidR="0019378C" w:rsidRPr="00544365">
        <w:rPr>
          <w:szCs w:val="22"/>
        </w:rPr>
        <w:instrText>ADDIN CSL_CITATION {"citationItems":[{"id":"ITEM-1","itemData":{"DOI":"10.19044/esj.2016.v12n10p%p","ISSN":"18577881","abstract":"In this paper, we run dynamic panel model describing the relationship between industrialization and different socio-economic, financial and institutional determinants for 35 African countries over the period 1970- 2012. We conduct also sub-regional and sub-period analysis in order to check the robustness of the results. Our main results are the following: (i) As generally found in the literature, Human capital, Labor Market conditions, Real Effective Exchange Rate and GDP per capita are clear determinants of industrialization in Africa; (ii) The determinants of industrialization vary between regions in the continent and evolve over time; (iii) policy interdependencies are significant and positive for industrialization in Africa.","author":[{"dropping-particle":"","family":"Samouel","given":"Beji","non-dropping-particle":"","parse-names":false,"suffix":""},{"dropping-particle":"","family":"Samouel","given":"Beji","non-dropping-particle":"","parse-names":false,"suffix":""},{"dropping-particle":"","family":"Aram","given":"Belhadj","non-dropping-particle":"","parse-names":false,"suffix":""}],"container-title":"European Scientific Journal, ESJ","id":"ITEM-1","issue":"10","issued":{"date-parts":[["2016"]]},"page":"219-239","title":"The Determinants Of Industrialization: Empirical Evidence For Africa","type":"article-journal","volume":"12"},"uris":["http://www.mendeley.com/documents/?uuid=b163a993-c13b-4c9e-b471-a309d58e6397"]}],"mendeley":{"formattedCitation":"(Samouel et al., 2016)","plainTextFormattedCitation":"(Samouel et al., 2016)","previouslyFormattedCitation":"(Samouel et al., 2016)"},"properties":{"noteIndex":0},"schema":"https://github.com/citation-style-language/schema/raw/master/csl-citation.json"}</w:instrText>
      </w:r>
      <w:r w:rsidRPr="00544365">
        <w:rPr>
          <w:szCs w:val="22"/>
        </w:rPr>
        <w:fldChar w:fldCharType="separate"/>
      </w:r>
      <w:r w:rsidRPr="00544365">
        <w:rPr>
          <w:noProof/>
          <w:szCs w:val="22"/>
        </w:rPr>
        <w:t>(Samouel et al., 2016)</w:t>
      </w:r>
      <w:r w:rsidRPr="00544365">
        <w:rPr>
          <w:szCs w:val="22"/>
        </w:rPr>
        <w:fldChar w:fldCharType="end"/>
      </w:r>
      <w:r w:rsidRPr="00544365">
        <w:rPr>
          <w:szCs w:val="22"/>
          <w:lang w:val="en-US"/>
        </w:rPr>
        <w:t xml:space="preserve"> menemukan bahwa untuk seluruh wilayah, modal manusia, kondisi Pasar Kerja, Nilai Tukar Efektif Riil, dan PDB per kapita adalah penentu jelas industrialisasi. Namun, </w:t>
      </w:r>
      <w:r w:rsidR="00B502B4" w:rsidRPr="00544365">
        <w:rPr>
          <w:szCs w:val="22"/>
          <w:lang w:val="en-US"/>
        </w:rPr>
        <w:t xml:space="preserve">hasil </w:t>
      </w:r>
      <w:r w:rsidR="00B502B4" w:rsidRPr="00544365">
        <w:rPr>
          <w:szCs w:val="22"/>
          <w:lang w:val="en-US"/>
        </w:rPr>
        <w:lastRenderedPageBreak/>
        <w:t xml:space="preserve">penelitian ditemukan </w:t>
      </w:r>
      <w:r w:rsidRPr="00544365">
        <w:rPr>
          <w:szCs w:val="22"/>
          <w:lang w:val="en-US"/>
        </w:rPr>
        <w:t xml:space="preserve">efek positif dari ekspor dan efek negatif dari impor pada pengembangan industri. </w:t>
      </w:r>
      <w:r w:rsidR="00B502B4" w:rsidRPr="00544365">
        <w:rPr>
          <w:szCs w:val="22"/>
          <w:lang w:val="en-US"/>
        </w:rPr>
        <w:t xml:space="preserve">Saling </w:t>
      </w:r>
      <w:r w:rsidRPr="00544365">
        <w:rPr>
          <w:szCs w:val="22"/>
          <w:lang w:val="en-US"/>
        </w:rPr>
        <w:t xml:space="preserve">ketergantungan kebijakan yang signifikan dan positif untuk industrialisasi di Afrika. Tak perlu dikatakan bahwa segala sesuatu harus diubah, terutama mengingat rendahnya kapasitas sektor industri untuk meningkatkan dan menawarkan pekerjaan yang cukup di Afrika. Dengan kata lain, untuk meningkatkan harapan bagi industrialisasi yang efektif dan untuk kemunculan benua yang nyata, negara-negara Afrika harus putus dengan kebijakan lama. Ini berarti sumber daya mobilisasi yang pada dasarnya lebih baik, meningkatkan lingkungan bisnis, membangun stabilitas ekonomi makro yang sehat, memastikan tata kelola yang baik dan meningkatkan sumber daya manusia untuk menarik investasi langsung asing yang memadai dari luar negeri (tidak hanya menargetkan FDI berdasarkan upah rendah di negara-negara berkembang) yang merupakan tujuan menengah untuk mencapai industrialisasi. Ini juga berarti beralih dari kebijakan keuangan dan perdagangan yang buruk, membangun sistem keuangan yang lebih efisien dan mengelola keterbukaan perdagangan dengan lebih baik. Kedua, melakukan analisis sub-regional dan menemukan bahwa pengembangan keuangan, tata kelola, kondisi pasar tenaga kerja, REER dan ekspor adalah faktor yang paling menentukan industrialisasi di Negara-negara Afrika Utara. Namun, perkembangan keuangan, modal manusia, dan PDB jauh lebih penting bagi Negara-negara Afrika Barat dan Afrika Timur, sedangkan FDI merupakan penentu terpenting di Negara-negara Afrika Selatan di sebelah REER, pengembangan keuangan, dan tata kelola. </w:t>
      </w:r>
      <w:r w:rsidR="00B502B4" w:rsidRPr="00544365">
        <w:rPr>
          <w:szCs w:val="22"/>
          <w:lang w:val="en-US"/>
        </w:rPr>
        <w:t xml:space="preserve">Saling </w:t>
      </w:r>
      <w:r w:rsidRPr="00544365">
        <w:rPr>
          <w:szCs w:val="22"/>
          <w:lang w:val="en-US"/>
        </w:rPr>
        <w:t xml:space="preserve">melengkapi antara pengembangan keuangan dan tata </w:t>
      </w:r>
      <w:r w:rsidRPr="00544365">
        <w:rPr>
          <w:szCs w:val="22"/>
          <w:lang w:val="en-US"/>
        </w:rPr>
        <w:lastRenderedPageBreak/>
        <w:t>kelola aktif untuk mendorong industrialisasi di seluruh benua kecuali di Afrika Barat dan Tengah. Namun, hanya di Negara-negara Afrika Timur, Tengah dan Selatan, pengembangan keuangan saling terkait dengan perdagangan sementara pengembangan keuangan berinteraksi secara signifikan dengan tata kelola kecuali di Afrika Barat. Oleh karena itu, penting untuk meningkatkan fleksibilitas pasar tenaga kerja dan memulai tata kelola yang baik di Negara-negara Afrika Utara, memperkuat ketahanan dari sistem keuangan di negara-negara Afrika Timur, menjaga stabilitas ekonomi makro dan lebih lanjut meningkatkan modal manusia di negara-negara Afrika Barat, meningkatkan integrasi perdagangan di negara-negara Afrika Tengah dan akhirnya mendorong dan menargetkan FDI lebih baik di negara-negara Afrika Selatan.</w:t>
      </w:r>
    </w:p>
    <w:p w:rsidR="00654367" w:rsidRDefault="00654367" w:rsidP="00654367">
      <w:pPr>
        <w:pStyle w:val="07aSubJudul"/>
        <w:rPr>
          <w:lang w:val="id-ID"/>
        </w:rPr>
      </w:pPr>
      <w:r>
        <w:rPr>
          <w:lang w:val="id-ID"/>
        </w:rPr>
        <w:t xml:space="preserve">METODE PENELITIAN </w:t>
      </w:r>
    </w:p>
    <w:p w:rsidR="007D6FFD" w:rsidRPr="00544365" w:rsidRDefault="007D6FFD" w:rsidP="00544365">
      <w:pPr>
        <w:tabs>
          <w:tab w:val="left" w:pos="720"/>
        </w:tabs>
        <w:spacing w:line="360" w:lineRule="auto"/>
        <w:ind w:firstLine="284"/>
        <w:rPr>
          <w:sz w:val="22"/>
          <w:szCs w:val="22"/>
        </w:rPr>
      </w:pPr>
      <w:r w:rsidRPr="00544365">
        <w:rPr>
          <w:sz w:val="22"/>
          <w:szCs w:val="22"/>
        </w:rPr>
        <w:t xml:space="preserve">Penelitian ini dilakukan untuk mengkaji tentang bagaimana jumlah penduduk, tingkat pengangguran terbuka, jumlah industri, yang mempengaruhi pertumbuhan ekonomi di Sumatera Utara. </w:t>
      </w:r>
    </w:p>
    <w:p w:rsidR="007D6FFD" w:rsidRPr="00544365" w:rsidRDefault="007D6FFD" w:rsidP="00544365">
      <w:pPr>
        <w:pStyle w:val="ListParagraph"/>
        <w:spacing w:after="0" w:line="360" w:lineRule="auto"/>
        <w:ind w:left="0" w:firstLine="284"/>
        <w:jc w:val="both"/>
        <w:rPr>
          <w:rFonts w:ascii="Times New Roman" w:hAnsi="Times New Roman"/>
          <w:lang w:val="en-US"/>
        </w:rPr>
      </w:pPr>
      <w:r w:rsidRPr="00544365">
        <w:rPr>
          <w:rFonts w:ascii="Times New Roman" w:hAnsi="Times New Roman"/>
        </w:rPr>
        <w:t>Jenis data penelitian yang digunakan dalam kajian ini adalah data sekunder yang diperoleh dari Statistik Ekonomi BPS</w:t>
      </w:r>
      <w:r w:rsidRPr="00544365">
        <w:rPr>
          <w:rFonts w:ascii="Times New Roman" w:hAnsi="Times New Roman"/>
          <w:lang w:val="en-US"/>
        </w:rPr>
        <w:t>, BI</w:t>
      </w:r>
      <w:r w:rsidRPr="00544365">
        <w:rPr>
          <w:rFonts w:ascii="Times New Roman" w:hAnsi="Times New Roman"/>
        </w:rPr>
        <w:t xml:space="preserve"> dan Bappeda provinsi Sumatera Utara serta beberapa penerbitan yang mendukung dan berhubungan dengan kajian ini. Cakupan </w:t>
      </w:r>
      <w:r w:rsidRPr="00544365">
        <w:rPr>
          <w:rFonts w:ascii="Times New Roman" w:hAnsi="Times New Roman"/>
          <w:lang w:val="en-US"/>
        </w:rPr>
        <w:t>populasi</w:t>
      </w:r>
      <w:r w:rsidRPr="00544365">
        <w:rPr>
          <w:rFonts w:ascii="Times New Roman" w:hAnsi="Times New Roman"/>
        </w:rPr>
        <w:t xml:space="preserve"> adalah seluruh Kabupaten/Kota yang ada di Provinsi Sumatera Utara yaitu 33 Kabupaten/Kota</w:t>
      </w:r>
      <w:r w:rsidRPr="00544365">
        <w:rPr>
          <w:rFonts w:ascii="Times New Roman" w:hAnsi="Times New Roman"/>
          <w:lang w:val="en-US"/>
        </w:rPr>
        <w:t xml:space="preserve"> </w:t>
      </w:r>
      <w:r w:rsidRPr="00544365">
        <w:rPr>
          <w:rFonts w:ascii="Times New Roman" w:hAnsi="Times New Roman"/>
        </w:rPr>
        <w:t>dari tahun 201</w:t>
      </w:r>
      <w:r w:rsidRPr="00544365">
        <w:rPr>
          <w:rFonts w:ascii="Times New Roman" w:hAnsi="Times New Roman"/>
          <w:lang w:val="en-US"/>
        </w:rPr>
        <w:t>0</w:t>
      </w:r>
      <w:r w:rsidRPr="00544365">
        <w:rPr>
          <w:rFonts w:ascii="Times New Roman" w:hAnsi="Times New Roman"/>
        </w:rPr>
        <w:t>-201</w:t>
      </w:r>
      <w:r w:rsidRPr="00544365">
        <w:rPr>
          <w:rFonts w:ascii="Times New Roman" w:hAnsi="Times New Roman"/>
          <w:lang w:val="en-US"/>
        </w:rPr>
        <w:t>5.</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lang w:val="en-US"/>
        </w:rPr>
        <w:t xml:space="preserve">Data-data yang digunakan, dianalisis secara kuantitatif dengan menggunakan analisis </w:t>
      </w:r>
      <w:r w:rsidRPr="00544365">
        <w:rPr>
          <w:rFonts w:ascii="Times New Roman" w:hAnsi="Times New Roman" w:cs="Times New Roman"/>
          <w:sz w:val="22"/>
          <w:szCs w:val="22"/>
          <w:lang w:val="en-US"/>
        </w:rPr>
        <w:lastRenderedPageBreak/>
        <w:t>statistik yaitu persamaan regresi linier berganda. Variabel independen yang mempengaruhi variabel dependen dinyatakan dalam fungsi sebagai berikut:</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m:oMath>
        <m:r>
          <w:rPr>
            <w:rFonts w:ascii="Cambria Math" w:hAnsi="Cambria Math" w:cs="Times New Roman"/>
            <w:sz w:val="22"/>
            <w:szCs w:val="22"/>
            <w:lang w:val="en-US"/>
          </w:rPr>
          <m:t>Y</m:t>
        </m:r>
        <m:r>
          <w:rPr>
            <w:rFonts w:ascii="Cambria Math" w:hAnsi="Times New Roman" w:cs="Times New Roman"/>
            <w:sz w:val="22"/>
            <w:szCs w:val="22"/>
            <w:lang w:val="en-US"/>
          </w:rPr>
          <m:t>=</m:t>
        </m:r>
        <m:r>
          <w:rPr>
            <w:rFonts w:ascii="Cambria Math" w:hAnsi="Cambria Math" w:cs="Times New Roman"/>
            <w:sz w:val="22"/>
            <w:szCs w:val="22"/>
            <w:lang w:val="en-US"/>
          </w:rPr>
          <m:t>f</m:t>
        </m:r>
        <m:d>
          <m:dPr>
            <m:ctrlPr>
              <w:rPr>
                <w:rFonts w:ascii="Cambria Math" w:hAnsi="Times New Roman" w:cs="Times New Roman"/>
                <w:i/>
                <w:sz w:val="22"/>
                <w:szCs w:val="22"/>
                <w:lang w:val="en-US"/>
              </w:rPr>
            </m:ctrlPr>
          </m:dPr>
          <m:e>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X</m:t>
                </m:r>
              </m:e>
              <m:sub>
                <m:r>
                  <w:rPr>
                    <w:rFonts w:ascii="Cambria Math" w:hAnsi="Times New Roman" w:cs="Times New Roman"/>
                    <w:sz w:val="22"/>
                    <w:szCs w:val="22"/>
                    <w:lang w:val="en-US"/>
                  </w:rPr>
                  <m:t>1</m:t>
                </m:r>
              </m:sub>
            </m:sSub>
            <m:r>
              <w:rPr>
                <w:rFonts w:ascii="Cambria Math" w:hAnsi="Times New Roman" w:cs="Times New Roman"/>
                <w:sz w:val="22"/>
                <w:szCs w:val="22"/>
                <w:lang w:val="en-US"/>
              </w:rPr>
              <m:t>,</m:t>
            </m:r>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X</m:t>
                </m:r>
              </m:e>
              <m:sub>
                <m:r>
                  <w:rPr>
                    <w:rFonts w:ascii="Cambria Math" w:hAnsi="Times New Roman" w:cs="Times New Roman"/>
                    <w:sz w:val="22"/>
                    <w:szCs w:val="22"/>
                    <w:lang w:val="en-US"/>
                  </w:rPr>
                  <m:t>2</m:t>
                </m:r>
              </m:sub>
            </m:sSub>
            <m:r>
              <w:rPr>
                <w:rFonts w:ascii="Cambria Math" w:hAnsi="Times New Roman" w:cs="Times New Roman"/>
                <w:sz w:val="22"/>
                <w:szCs w:val="22"/>
                <w:lang w:val="en-US"/>
              </w:rPr>
              <m:t>,</m:t>
            </m:r>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X</m:t>
                </m:r>
              </m:e>
              <m:sub>
                <m:r>
                  <w:rPr>
                    <w:rFonts w:ascii="Cambria Math" w:hAnsi="Times New Roman" w:cs="Times New Roman"/>
                    <w:sz w:val="22"/>
                    <w:szCs w:val="22"/>
                    <w:lang w:val="en-US"/>
                  </w:rPr>
                  <m:t>3</m:t>
                </m:r>
              </m:sub>
            </m:sSub>
          </m:e>
        </m:d>
      </m:oMath>
      <w:r w:rsidR="006D5061" w:rsidRPr="00544365">
        <w:rPr>
          <w:rFonts w:ascii="Times New Roman" w:hAnsi="Times New Roman" w:cs="Times New Roman"/>
          <w:sz w:val="22"/>
          <w:szCs w:val="22"/>
          <w:lang w:val="en-US"/>
        </w:rPr>
        <w:t>………………</w:t>
      </w:r>
      <w:r w:rsidRPr="00544365">
        <w:rPr>
          <w:rFonts w:ascii="Times New Roman" w:hAnsi="Times New Roman" w:cs="Times New Roman"/>
          <w:sz w:val="22"/>
          <w:szCs w:val="22"/>
          <w:lang w:val="en-US"/>
        </w:rPr>
        <w:t>..(3.1)</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lang w:val="en-US"/>
        </w:rPr>
        <w:t xml:space="preserve">Kemudian fungsi tersebut ditransformasikan kedalam model persamaan linear berganda </w:t>
      </w:r>
      <w:r w:rsidRPr="00544365">
        <w:rPr>
          <w:rFonts w:ascii="Times New Roman" w:hAnsi="Times New Roman" w:cs="Times New Roman"/>
          <w:i/>
          <w:sz w:val="22"/>
          <w:szCs w:val="22"/>
          <w:lang w:val="en-US"/>
        </w:rPr>
        <w:t>(multiple regression)</w:t>
      </w:r>
      <w:r w:rsidRPr="00544365">
        <w:rPr>
          <w:rFonts w:ascii="Times New Roman" w:hAnsi="Times New Roman" w:cs="Times New Roman"/>
          <w:sz w:val="22"/>
          <w:szCs w:val="22"/>
          <w:lang w:val="en-US"/>
        </w:rPr>
        <w:t xml:space="preserve"> dengan spesifikasi model seperti dibawah ini, sehingga model itu berubah menjadi bentuk linier, seperti dibawah ini:</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lang w:val="en-US"/>
        </w:rPr>
      </w:pPr>
      <m:oMath>
        <m:r>
          <w:rPr>
            <w:rFonts w:ascii="Cambria Math" w:hAnsi="Cambria Math" w:cs="Times New Roman"/>
            <w:lang w:val="en-US"/>
          </w:rPr>
          <m:t>Log</m:t>
        </m:r>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PDRB</m:t>
                </m:r>
              </m:e>
              <m:sub>
                <m:r>
                  <w:rPr>
                    <w:rFonts w:ascii="Cambria Math" w:hAnsi="Cambria Math" w:cs="Times New Roman"/>
                    <w:lang w:val="en-US"/>
                  </w:rPr>
                  <m:t>it</m:t>
                </m:r>
              </m:sub>
            </m:sSub>
          </m:e>
        </m:d>
        <m:r>
          <w:rPr>
            <w:rFonts w:ascii="Cambria Math" w:hAnsi="Times New Roman" w:cs="Times New Roman"/>
            <w:lang w:val="en-US"/>
          </w:rPr>
          <m:t>=</m:t>
        </m:r>
        <m:r>
          <w:rPr>
            <w:rFonts w:ascii="Cambria Math" w:hAnsi="Cambria Math" w:cs="Times New Roman"/>
            <w:lang w:val="en-US"/>
          </w:rPr>
          <m:t>α</m:t>
        </m:r>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1</m:t>
            </m:r>
          </m:sub>
        </m:sSub>
        <m:func>
          <m:funcPr>
            <m:ctrlPr>
              <w:rPr>
                <w:rFonts w:ascii="Cambria Math" w:hAnsi="Times New Roman" w:cs="Times New Roman"/>
                <w:lang w:val="en-US"/>
              </w:rPr>
            </m:ctrlPr>
          </m:funcPr>
          <m:fName>
            <m:r>
              <m:rPr>
                <m:sty m:val="p"/>
              </m:rPr>
              <w:rPr>
                <w:rFonts w:ascii="Cambria Math" w:hAnsi="Times New Roman" w:cs="Times New Roman"/>
                <w:lang w:val="en-US"/>
              </w:rPr>
              <m:t>log</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1</m:t>
                    </m:r>
                    <m:r>
                      <w:rPr>
                        <w:rFonts w:ascii="Cambria Math" w:hAnsi="Cambria Math" w:cs="Times New Roman"/>
                        <w:lang w:val="en-US"/>
                      </w:rPr>
                      <m:t>it</m:t>
                    </m:r>
                  </m:sub>
                </m:sSub>
              </m:e>
            </m:d>
            <m:ctrlPr>
              <w:rPr>
                <w:rFonts w:ascii="Cambria Math" w:hAnsi="Times New Roman" w:cs="Times New Roman"/>
                <w:i/>
                <w:lang w:val="en-US"/>
              </w:rPr>
            </m:ctrlPr>
          </m:e>
        </m:func>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2</m:t>
            </m:r>
          </m:sub>
        </m:sSub>
        <m:func>
          <m:funcPr>
            <m:ctrlPr>
              <w:rPr>
                <w:rFonts w:ascii="Cambria Math" w:hAnsi="Times New Roman" w:cs="Times New Roman"/>
                <w:lang w:val="en-US"/>
              </w:rPr>
            </m:ctrlPr>
          </m:funcPr>
          <m:fName>
            <m:r>
              <m:rPr>
                <m:sty m:val="p"/>
              </m:rPr>
              <w:rPr>
                <w:rFonts w:ascii="Cambria Math" w:hAnsi="Times New Roman" w:cs="Times New Roman"/>
                <w:lang w:val="en-US"/>
              </w:rPr>
              <m:t>log</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2</m:t>
                    </m:r>
                    <m:r>
                      <w:rPr>
                        <w:rFonts w:ascii="Cambria Math" w:hAnsi="Cambria Math" w:cs="Times New Roman"/>
                        <w:lang w:val="en-US"/>
                      </w:rPr>
                      <m:t>it</m:t>
                    </m:r>
                  </m:sub>
                </m:sSub>
              </m:e>
            </m:d>
            <m:ctrlPr>
              <w:rPr>
                <w:rFonts w:ascii="Cambria Math" w:hAnsi="Times New Roman" w:cs="Times New Roman"/>
                <w:i/>
                <w:lang w:val="en-US"/>
              </w:rPr>
            </m:ctrlPr>
          </m:e>
        </m:func>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3</m:t>
            </m:r>
          </m:sub>
        </m:sSub>
        <m:func>
          <m:funcPr>
            <m:ctrlPr>
              <w:rPr>
                <w:rFonts w:ascii="Cambria Math" w:hAnsi="Times New Roman" w:cs="Times New Roman"/>
                <w:lang w:val="en-US"/>
              </w:rPr>
            </m:ctrlPr>
          </m:funcPr>
          <m:fName>
            <m:r>
              <m:rPr>
                <m:sty m:val="p"/>
              </m:rPr>
              <w:rPr>
                <w:rFonts w:ascii="Cambria Math" w:hAnsi="Times New Roman" w:cs="Times New Roman"/>
                <w:lang w:val="en-US"/>
              </w:rPr>
              <m:t>log</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3</m:t>
                    </m:r>
                    <m:r>
                      <w:rPr>
                        <w:rFonts w:ascii="Cambria Math" w:hAnsi="Cambria Math" w:cs="Times New Roman"/>
                        <w:lang w:val="en-US"/>
                      </w:rPr>
                      <m:t>it</m:t>
                    </m:r>
                  </m:sub>
                </m:sSub>
              </m:e>
            </m:d>
            <m:ctrlPr>
              <w:rPr>
                <w:rFonts w:ascii="Cambria Math" w:hAnsi="Times New Roman" w:cs="Times New Roman"/>
                <w:i/>
                <w:lang w:val="en-US"/>
              </w:rPr>
            </m:ctrlPr>
          </m:e>
        </m:func>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ε</m:t>
            </m:r>
          </m:e>
          <m:sub>
            <m:r>
              <w:rPr>
                <w:rFonts w:ascii="Cambria Math" w:hAnsi="Cambria Math" w:cs="Times New Roman"/>
                <w:lang w:val="en-US"/>
              </w:rPr>
              <m:t>it</m:t>
            </m:r>
          </m:sub>
        </m:sSub>
      </m:oMath>
      <w:r w:rsidRPr="00544365">
        <w:rPr>
          <w:rFonts w:ascii="Times New Roman" w:hAnsi="Times New Roman" w:cs="Times New Roman"/>
          <w:lang w:val="en-US"/>
        </w:rPr>
        <w:t>…….(3.2)</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lang w:val="en-US"/>
        </w:rPr>
        <w:t xml:space="preserve">Untuk memudahkan analisis, penulisan intersep </w:t>
      </w:r>
      <m:oMath>
        <m:r>
          <w:rPr>
            <w:rFonts w:ascii="Cambria Math" w:hAnsi="Cambria Math" w:cs="Times New Roman"/>
            <w:sz w:val="22"/>
            <w:szCs w:val="22"/>
            <w:lang w:val="en-US"/>
          </w:rPr>
          <m:t>α</m:t>
        </m:r>
      </m:oMath>
      <w:r w:rsidRPr="00544365">
        <w:rPr>
          <w:rFonts w:ascii="Times New Roman" w:hAnsi="Times New Roman" w:cs="Times New Roman"/>
          <w:sz w:val="22"/>
          <w:szCs w:val="22"/>
          <w:lang w:val="en-US"/>
        </w:rPr>
        <w:t xml:space="preserve"> diganti dengan </w:t>
      </w:r>
      <m:oMath>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β</m:t>
            </m:r>
          </m:e>
          <m:sub>
            <m:r>
              <w:rPr>
                <w:rFonts w:ascii="Cambria Math" w:hAnsi="Times New Roman" w:cs="Times New Roman"/>
                <w:sz w:val="22"/>
                <w:szCs w:val="22"/>
                <w:lang w:val="en-US"/>
              </w:rPr>
              <m:t>0</m:t>
            </m:r>
          </m:sub>
        </m:sSub>
      </m:oMath>
      <w:r w:rsidRPr="00544365">
        <w:rPr>
          <w:rFonts w:ascii="Times New Roman" w:hAnsi="Times New Roman" w:cs="Times New Roman"/>
          <w:sz w:val="22"/>
          <w:szCs w:val="22"/>
          <w:lang w:val="en-US"/>
        </w:rPr>
        <w:t xml:space="preserve"> dan variabel gangguan </w:t>
      </w:r>
      <m:oMath>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ε</m:t>
            </m:r>
          </m:e>
          <m:sub>
            <m:r>
              <w:rPr>
                <w:rFonts w:ascii="Cambria Math" w:hAnsi="Cambria Math" w:cs="Times New Roman"/>
                <w:sz w:val="22"/>
                <w:szCs w:val="22"/>
                <w:lang w:val="en-US"/>
              </w:rPr>
              <m:t>it</m:t>
            </m:r>
          </m:sub>
        </m:sSub>
      </m:oMath>
      <w:r w:rsidRPr="00544365">
        <w:rPr>
          <w:rFonts w:ascii="Times New Roman" w:hAnsi="Times New Roman" w:cs="Times New Roman"/>
          <w:sz w:val="22"/>
          <w:szCs w:val="22"/>
          <w:lang w:val="en-US"/>
        </w:rPr>
        <w:t xml:space="preserve"> diganti dengan </w:t>
      </w:r>
      <m:oMath>
        <m:sSub>
          <m:sSubPr>
            <m:ctrlPr>
              <w:rPr>
                <w:rFonts w:ascii="Cambria Math" w:hAnsi="Times New Roman" w:cs="Times New Roman"/>
                <w:i/>
                <w:sz w:val="22"/>
                <w:szCs w:val="22"/>
                <w:lang w:val="en-US"/>
              </w:rPr>
            </m:ctrlPr>
          </m:sSubPr>
          <m:e>
            <m:r>
              <w:rPr>
                <w:rFonts w:ascii="Cambria Math" w:hAnsi="Cambria Math" w:cs="Times New Roman"/>
                <w:sz w:val="22"/>
                <w:szCs w:val="22"/>
                <w:lang w:val="en-US"/>
              </w:rPr>
              <m:t>v</m:t>
            </m:r>
          </m:e>
          <m:sub>
            <m:r>
              <w:rPr>
                <w:rFonts w:ascii="Cambria Math" w:hAnsi="Cambria Math" w:cs="Times New Roman"/>
                <w:sz w:val="22"/>
                <w:szCs w:val="22"/>
                <w:lang w:val="en-US"/>
              </w:rPr>
              <m:t>it</m:t>
            </m:r>
          </m:sub>
        </m:sSub>
      </m:oMath>
      <w:r w:rsidRPr="00544365">
        <w:rPr>
          <w:rFonts w:ascii="Times New Roman" w:hAnsi="Times New Roman" w:cs="Times New Roman"/>
          <w:sz w:val="22"/>
          <w:szCs w:val="22"/>
          <w:lang w:val="en-US"/>
        </w:rPr>
        <w:t xml:space="preserve"> sehingga model regresi umum data panel dari persamaan (3.2) dapat ditulis kembali dalam bentuk </w:t>
      </w:r>
      <w:r w:rsidRPr="00544365">
        <w:rPr>
          <w:rFonts w:ascii="Times New Roman" w:hAnsi="Times New Roman" w:cs="Times New Roman"/>
          <w:i/>
          <w:sz w:val="22"/>
          <w:szCs w:val="22"/>
          <w:lang w:val="en-US"/>
        </w:rPr>
        <w:t>log linier</w:t>
      </w:r>
      <w:r w:rsidRPr="00544365">
        <w:rPr>
          <w:rFonts w:ascii="Times New Roman" w:hAnsi="Times New Roman" w:cs="Times New Roman"/>
          <w:sz w:val="22"/>
          <w:szCs w:val="22"/>
          <w:lang w:val="en-US"/>
        </w:rPr>
        <w:t xml:space="preserve"> sebagai berikut:</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lang w:val="en-US"/>
        </w:rPr>
      </w:pPr>
      <m:oMath>
        <m:r>
          <w:rPr>
            <w:rFonts w:ascii="Cambria Math" w:hAnsi="Cambria Math" w:cs="Times New Roman"/>
            <w:lang w:val="en-US"/>
          </w:rPr>
          <m:t>Ln</m:t>
        </m:r>
        <m:r>
          <w:rPr>
            <w:rFonts w:ascii="Cambria Math" w:hAnsi="Times New Roman" w:cs="Times New Roman"/>
            <w:lang w:val="en-US"/>
          </w:rPr>
          <m:t xml:space="preserve"> </m:t>
        </m:r>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PDRB</m:t>
                </m:r>
              </m:e>
              <m:sub>
                <m:r>
                  <w:rPr>
                    <w:rFonts w:ascii="Cambria Math" w:hAnsi="Cambria Math" w:cs="Times New Roman"/>
                    <w:lang w:val="en-US"/>
                  </w:rPr>
                  <m:t>it</m:t>
                </m:r>
              </m:sub>
            </m:sSub>
          </m:e>
        </m:d>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0</m:t>
            </m:r>
          </m:sub>
        </m:sSub>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1</m:t>
            </m:r>
          </m:sub>
        </m:sSub>
        <m:func>
          <m:funcPr>
            <m:ctrlPr>
              <w:rPr>
                <w:rFonts w:ascii="Cambria Math" w:hAnsi="Times New Roman" w:cs="Times New Roman"/>
                <w:lang w:val="en-US"/>
              </w:rPr>
            </m:ctrlPr>
          </m:funcPr>
          <m:fName>
            <m:r>
              <m:rPr>
                <m:sty m:val="p"/>
              </m:rPr>
              <w:rPr>
                <w:rFonts w:ascii="Cambria Math" w:hAnsi="Times New Roman" w:cs="Times New Roman"/>
                <w:lang w:val="en-US"/>
              </w:rPr>
              <m:t>ln</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1</m:t>
                    </m:r>
                    <m:r>
                      <w:rPr>
                        <w:rFonts w:ascii="Cambria Math" w:hAnsi="Cambria Math" w:cs="Times New Roman"/>
                        <w:lang w:val="en-US"/>
                      </w:rPr>
                      <m:t>it</m:t>
                    </m:r>
                  </m:sub>
                </m:sSub>
              </m:e>
            </m:d>
            <m:ctrlPr>
              <w:rPr>
                <w:rFonts w:ascii="Cambria Math" w:hAnsi="Times New Roman" w:cs="Times New Roman"/>
                <w:i/>
                <w:lang w:val="en-US"/>
              </w:rPr>
            </m:ctrlPr>
          </m:e>
        </m:func>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2</m:t>
            </m:r>
          </m:sub>
        </m:sSub>
        <m:func>
          <m:funcPr>
            <m:ctrlPr>
              <w:rPr>
                <w:rFonts w:ascii="Cambria Math" w:hAnsi="Times New Roman" w:cs="Times New Roman"/>
                <w:lang w:val="en-US"/>
              </w:rPr>
            </m:ctrlPr>
          </m:funcPr>
          <m:fName>
            <m:r>
              <m:rPr>
                <m:sty m:val="p"/>
              </m:rPr>
              <w:rPr>
                <w:rFonts w:ascii="Cambria Math" w:hAnsi="Times New Roman" w:cs="Times New Roman"/>
                <w:lang w:val="en-US"/>
              </w:rPr>
              <m:t>ln</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2</m:t>
                    </m:r>
                    <m:r>
                      <w:rPr>
                        <w:rFonts w:ascii="Cambria Math" w:hAnsi="Cambria Math" w:cs="Times New Roman"/>
                        <w:lang w:val="en-US"/>
                      </w:rPr>
                      <m:t>it</m:t>
                    </m:r>
                  </m:sub>
                </m:sSub>
              </m:e>
            </m:d>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β</m:t>
                </m:r>
              </m:e>
              <m:sub>
                <m:r>
                  <w:rPr>
                    <w:rFonts w:ascii="Cambria Math" w:hAnsi="Times New Roman" w:cs="Times New Roman"/>
                    <w:lang w:val="en-US"/>
                  </w:rPr>
                  <m:t>3</m:t>
                </m:r>
              </m:sub>
            </m:sSub>
            <m:func>
              <m:funcPr>
                <m:ctrlPr>
                  <w:rPr>
                    <w:rFonts w:ascii="Cambria Math" w:hAnsi="Times New Roman" w:cs="Times New Roman"/>
                    <w:lang w:val="en-US"/>
                  </w:rPr>
                </m:ctrlPr>
              </m:funcPr>
              <m:fName>
                <m:r>
                  <m:rPr>
                    <m:sty m:val="p"/>
                  </m:rPr>
                  <w:rPr>
                    <w:rFonts w:ascii="Cambria Math" w:hAnsi="Times New Roman" w:cs="Times New Roman"/>
                    <w:lang w:val="en-US"/>
                  </w:rPr>
                  <m:t>ln</m:t>
                </m:r>
              </m:fName>
              <m:e>
                <m:d>
                  <m:dPr>
                    <m:ctrlPr>
                      <w:rPr>
                        <w:rFonts w:ascii="Cambria Math" w:hAnsi="Times New Roman" w:cs="Times New Roman"/>
                        <w:i/>
                        <w:lang w:val="en-US"/>
                      </w:rPr>
                    </m:ctrlPr>
                  </m:dPr>
                  <m:e>
                    <m:sSub>
                      <m:sSubPr>
                        <m:ctrlPr>
                          <w:rPr>
                            <w:rFonts w:ascii="Cambria Math" w:hAnsi="Times New Roman" w:cs="Times New Roman"/>
                            <w:i/>
                            <w:lang w:val="en-US"/>
                          </w:rPr>
                        </m:ctrlPr>
                      </m:sSubPr>
                      <m:e>
                        <m:r>
                          <w:rPr>
                            <w:rFonts w:ascii="Cambria Math" w:hAnsi="Cambria Math" w:cs="Times New Roman"/>
                            <w:lang w:val="en-US"/>
                          </w:rPr>
                          <m:t>X</m:t>
                        </m:r>
                      </m:e>
                      <m:sub>
                        <m:r>
                          <w:rPr>
                            <w:rFonts w:ascii="Cambria Math" w:hAnsi="Times New Roman" w:cs="Times New Roman"/>
                            <w:lang w:val="en-US"/>
                          </w:rPr>
                          <m:t>3</m:t>
                        </m:r>
                        <m:r>
                          <w:rPr>
                            <w:rFonts w:ascii="Cambria Math" w:hAnsi="Cambria Math" w:cs="Times New Roman"/>
                            <w:lang w:val="en-US"/>
                          </w:rPr>
                          <m:t>it</m:t>
                        </m:r>
                      </m:sub>
                    </m:sSub>
                  </m:e>
                </m:d>
                <m:r>
                  <w:rPr>
                    <w:rFonts w:ascii="Cambria Math" w:hAnsi="Times New Roman" w:cs="Times New Roman"/>
                    <w:lang w:val="en-US"/>
                  </w:rPr>
                  <m:t>+</m:t>
                </m:r>
                <m:sSub>
                  <m:sSubPr>
                    <m:ctrlPr>
                      <w:rPr>
                        <w:rFonts w:ascii="Cambria Math" w:hAnsi="Times New Roman" w:cs="Times New Roman"/>
                        <w:i/>
                        <w:lang w:val="en-US"/>
                      </w:rPr>
                    </m:ctrlPr>
                  </m:sSubPr>
                  <m:e>
                    <m:r>
                      <w:rPr>
                        <w:rFonts w:ascii="Cambria Math" w:hAnsi="Cambria Math" w:cs="Times New Roman"/>
                        <w:lang w:val="en-US"/>
                      </w:rPr>
                      <m:t>v</m:t>
                    </m:r>
                  </m:e>
                  <m:sub>
                    <m:r>
                      <w:rPr>
                        <w:rFonts w:ascii="Cambria Math" w:hAnsi="Cambria Math" w:cs="Times New Roman"/>
                        <w:lang w:val="en-US"/>
                      </w:rPr>
                      <m:t>it</m:t>
                    </m:r>
                  </m:sub>
                </m:sSub>
                <m:ctrlPr>
                  <w:rPr>
                    <w:rFonts w:ascii="Cambria Math" w:hAnsi="Times New Roman" w:cs="Times New Roman"/>
                    <w:i/>
                    <w:lang w:val="en-US"/>
                  </w:rPr>
                </m:ctrlPr>
              </m:e>
            </m:func>
            <m:ctrlPr>
              <w:rPr>
                <w:rFonts w:ascii="Cambria Math" w:hAnsi="Times New Roman" w:cs="Times New Roman"/>
                <w:i/>
                <w:lang w:val="en-US"/>
              </w:rPr>
            </m:ctrlPr>
          </m:e>
        </m:func>
      </m:oMath>
      <w:r w:rsidRPr="00544365">
        <w:rPr>
          <w:rFonts w:ascii="Times New Roman" w:hAnsi="Times New Roman" w:cs="Times New Roman"/>
          <w:lang w:val="en-US"/>
        </w:rPr>
        <w:t>………(3.3)</w:t>
      </w:r>
    </w:p>
    <w:p w:rsidR="007D6FFD" w:rsidRPr="00544365" w:rsidRDefault="007D6FFD" w:rsidP="007D6FF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567" w:hanging="567"/>
        <w:jc w:val="both"/>
        <w:rPr>
          <w:rFonts w:ascii="Times New Roman" w:hAnsi="Times New Roman" w:cs="Times New Roman"/>
          <w:sz w:val="22"/>
          <w:szCs w:val="22"/>
          <w:lang w:val="en-US"/>
        </w:rPr>
      </w:pPr>
    </w:p>
    <w:p w:rsidR="007D6FFD" w:rsidRPr="00544365" w:rsidRDefault="007D6FFD" w:rsidP="00544365">
      <w:pPr>
        <w:spacing w:line="360" w:lineRule="auto"/>
        <w:ind w:left="284" w:hanging="284"/>
        <w:rPr>
          <w:b/>
          <w:sz w:val="22"/>
          <w:szCs w:val="22"/>
        </w:rPr>
      </w:pPr>
      <w:r w:rsidRPr="00544365">
        <w:rPr>
          <w:b/>
          <w:sz w:val="22"/>
          <w:szCs w:val="22"/>
        </w:rPr>
        <w:t>Regresi Data Panel</w:t>
      </w:r>
    </w:p>
    <w:p w:rsidR="007D6FFD" w:rsidRPr="00544365" w:rsidRDefault="007D6FFD" w:rsidP="00544365">
      <w:pPr>
        <w:pStyle w:val="ListParagraph"/>
        <w:numPr>
          <w:ilvl w:val="0"/>
          <w:numId w:val="27"/>
        </w:numPr>
        <w:spacing w:after="0" w:line="360" w:lineRule="auto"/>
        <w:ind w:left="284" w:hanging="284"/>
        <w:jc w:val="both"/>
        <w:rPr>
          <w:rFonts w:ascii="Times New Roman" w:hAnsi="Times New Roman"/>
          <w:i/>
        </w:rPr>
      </w:pPr>
      <w:r w:rsidRPr="00544365">
        <w:rPr>
          <w:rFonts w:ascii="Times New Roman" w:hAnsi="Times New Roman"/>
          <w:i/>
        </w:rPr>
        <w:t>Common Effect</w:t>
      </w:r>
    </w:p>
    <w:p w:rsidR="007D6FFD" w:rsidRPr="00544365" w:rsidRDefault="007D6FFD" w:rsidP="00544365">
      <w:pPr>
        <w:pStyle w:val="ListParagraph"/>
        <w:numPr>
          <w:ilvl w:val="0"/>
          <w:numId w:val="27"/>
        </w:numPr>
        <w:spacing w:after="0" w:line="360" w:lineRule="auto"/>
        <w:ind w:left="284" w:hanging="284"/>
        <w:jc w:val="both"/>
        <w:rPr>
          <w:rFonts w:ascii="Times New Roman" w:hAnsi="Times New Roman"/>
        </w:rPr>
      </w:pPr>
      <w:r w:rsidRPr="00544365">
        <w:rPr>
          <w:rFonts w:ascii="Times New Roman" w:hAnsi="Times New Roman"/>
          <w:i/>
        </w:rPr>
        <w:t>Fixed Effect</w:t>
      </w:r>
    </w:p>
    <w:p w:rsidR="007D6FFD" w:rsidRPr="00544365" w:rsidRDefault="007D6FFD" w:rsidP="00544365">
      <w:pPr>
        <w:pStyle w:val="ListParagraph"/>
        <w:numPr>
          <w:ilvl w:val="0"/>
          <w:numId w:val="27"/>
        </w:numPr>
        <w:spacing w:after="0" w:line="360" w:lineRule="auto"/>
        <w:ind w:left="284" w:hanging="284"/>
        <w:jc w:val="both"/>
        <w:rPr>
          <w:rFonts w:ascii="Times New Roman" w:hAnsi="Times New Roman"/>
        </w:rPr>
      </w:pPr>
      <w:r w:rsidRPr="00544365">
        <w:rPr>
          <w:rFonts w:ascii="Times New Roman" w:hAnsi="Times New Roman"/>
          <w:i/>
        </w:rPr>
        <w:t>Random Effect</w:t>
      </w:r>
    </w:p>
    <w:p w:rsidR="007D6FFD" w:rsidRPr="00544365" w:rsidRDefault="007D6FFD" w:rsidP="007D6FFD">
      <w:pPr>
        <w:pStyle w:val="ListParagraph"/>
        <w:spacing w:after="0" w:line="360" w:lineRule="auto"/>
        <w:ind w:left="567" w:hanging="567"/>
        <w:jc w:val="both"/>
        <w:rPr>
          <w:rFonts w:ascii="Times New Roman" w:hAnsi="Times New Roman"/>
        </w:rPr>
      </w:pPr>
    </w:p>
    <w:p w:rsidR="007D6FFD" w:rsidRPr="00544365" w:rsidRDefault="007D6FFD" w:rsidP="00544365">
      <w:pPr>
        <w:spacing w:line="360" w:lineRule="auto"/>
        <w:ind w:left="284" w:hanging="284"/>
        <w:rPr>
          <w:b/>
          <w:sz w:val="22"/>
          <w:szCs w:val="22"/>
        </w:rPr>
      </w:pPr>
      <w:r w:rsidRPr="00544365">
        <w:rPr>
          <w:b/>
          <w:sz w:val="22"/>
          <w:szCs w:val="22"/>
        </w:rPr>
        <w:t xml:space="preserve">Uji Signifikan Model </w:t>
      </w:r>
    </w:p>
    <w:p w:rsidR="007D6FFD" w:rsidRPr="00544365" w:rsidRDefault="007D6FFD" w:rsidP="00544365">
      <w:pPr>
        <w:pStyle w:val="ListParagraph"/>
        <w:spacing w:after="0" w:line="360" w:lineRule="auto"/>
        <w:ind w:left="0" w:firstLine="284"/>
        <w:jc w:val="both"/>
        <w:rPr>
          <w:rFonts w:ascii="Times New Roman" w:hAnsi="Times New Roman"/>
        </w:rPr>
      </w:pPr>
      <w:r w:rsidRPr="00544365">
        <w:rPr>
          <w:rFonts w:ascii="Times New Roman" w:hAnsi="Times New Roman"/>
        </w:rPr>
        <w:t>Selanjutnya untuk menguji masing-masing model sebagai berikut:</w:t>
      </w:r>
    </w:p>
    <w:p w:rsidR="007D6FFD" w:rsidRPr="00544365" w:rsidRDefault="007D6FFD" w:rsidP="00544365">
      <w:pPr>
        <w:pStyle w:val="ListParagraph"/>
        <w:numPr>
          <w:ilvl w:val="0"/>
          <w:numId w:val="28"/>
        </w:numPr>
        <w:spacing w:after="0" w:line="360" w:lineRule="auto"/>
        <w:ind w:left="284" w:hanging="284"/>
        <w:jc w:val="both"/>
        <w:rPr>
          <w:rFonts w:ascii="Times New Roman" w:hAnsi="Times New Roman"/>
        </w:rPr>
      </w:pPr>
      <w:r w:rsidRPr="00544365">
        <w:rPr>
          <w:rFonts w:ascii="Times New Roman" w:hAnsi="Times New Roman"/>
        </w:rPr>
        <w:t xml:space="preserve">Uji signifikansi model </w:t>
      </w:r>
      <w:r w:rsidRPr="00544365">
        <w:rPr>
          <w:rFonts w:ascii="Times New Roman" w:hAnsi="Times New Roman"/>
          <w:i/>
        </w:rPr>
        <w:t>Fixed Effect</w:t>
      </w:r>
    </w:p>
    <w:p w:rsidR="007D6FFD" w:rsidRPr="00544365" w:rsidRDefault="007D6FFD" w:rsidP="00544365">
      <w:pPr>
        <w:spacing w:line="360" w:lineRule="auto"/>
        <w:ind w:left="284" w:firstLine="0"/>
        <w:rPr>
          <w:sz w:val="22"/>
          <w:szCs w:val="22"/>
        </w:rPr>
      </w:pPr>
      <w:r w:rsidRPr="00544365">
        <w:rPr>
          <w:sz w:val="22"/>
          <w:szCs w:val="22"/>
        </w:rPr>
        <w:t>Pengujian dilakukan dengan uji chow yang merupakan uji perbedaan dua model regresi dengan menggunakan statistik uji F.</w:t>
      </w:r>
    </w:p>
    <w:p w:rsidR="007D6FFD" w:rsidRPr="00544365" w:rsidRDefault="007D6FFD" w:rsidP="00544365">
      <w:pPr>
        <w:pStyle w:val="ListParagraph"/>
        <w:numPr>
          <w:ilvl w:val="0"/>
          <w:numId w:val="28"/>
        </w:numPr>
        <w:spacing w:after="0" w:line="360" w:lineRule="auto"/>
        <w:ind w:left="284" w:hanging="284"/>
        <w:jc w:val="both"/>
        <w:rPr>
          <w:rFonts w:ascii="Times New Roman" w:hAnsi="Times New Roman"/>
        </w:rPr>
      </w:pPr>
      <w:r w:rsidRPr="00544365">
        <w:rPr>
          <w:rFonts w:ascii="Times New Roman" w:hAnsi="Times New Roman"/>
        </w:rPr>
        <w:t xml:space="preserve">Uji Signifikansi model </w:t>
      </w:r>
      <w:r w:rsidRPr="00544365">
        <w:rPr>
          <w:rFonts w:ascii="Times New Roman" w:hAnsi="Times New Roman"/>
          <w:i/>
        </w:rPr>
        <w:t>Random Effect</w:t>
      </w:r>
    </w:p>
    <w:p w:rsidR="007D6FFD" w:rsidRPr="00544365" w:rsidRDefault="007D6FFD" w:rsidP="00544365">
      <w:pPr>
        <w:spacing w:line="360" w:lineRule="auto"/>
        <w:ind w:left="284" w:firstLine="0"/>
        <w:rPr>
          <w:sz w:val="22"/>
          <w:szCs w:val="22"/>
        </w:rPr>
      </w:pPr>
      <w:r w:rsidRPr="00544365">
        <w:rPr>
          <w:sz w:val="22"/>
          <w:szCs w:val="22"/>
        </w:rPr>
        <w:t xml:space="preserve">Pengujian dilakukan dengan statistik uji </w:t>
      </w:r>
      <w:r w:rsidRPr="00544365">
        <w:rPr>
          <w:i/>
          <w:sz w:val="22"/>
          <w:szCs w:val="22"/>
        </w:rPr>
        <w:t xml:space="preserve">Lagrange Multiplier </w:t>
      </w:r>
      <w:r w:rsidRPr="00544365">
        <w:rPr>
          <w:sz w:val="22"/>
          <w:szCs w:val="22"/>
        </w:rPr>
        <w:t xml:space="preserve">(LM) yang </w:t>
      </w:r>
      <w:r w:rsidRPr="00544365">
        <w:rPr>
          <w:sz w:val="22"/>
          <w:szCs w:val="22"/>
        </w:rPr>
        <w:lastRenderedPageBreak/>
        <w:t xml:space="preserve">dikembangkan oleh Beusch-Pagan (uji Beusch-Pangan). </w:t>
      </w:r>
    </w:p>
    <w:p w:rsidR="007D6FFD" w:rsidRPr="00544365" w:rsidRDefault="007D6FFD" w:rsidP="007D6FFD">
      <w:pPr>
        <w:spacing w:line="360" w:lineRule="auto"/>
        <w:ind w:left="567"/>
        <w:rPr>
          <w:sz w:val="22"/>
          <w:szCs w:val="22"/>
        </w:rPr>
      </w:pPr>
    </w:p>
    <w:p w:rsidR="007D6FFD" w:rsidRPr="00544365" w:rsidRDefault="007D6FFD" w:rsidP="00544365">
      <w:pPr>
        <w:widowControl/>
        <w:spacing w:line="360" w:lineRule="auto"/>
        <w:ind w:firstLine="0"/>
        <w:rPr>
          <w:b/>
          <w:sz w:val="22"/>
          <w:szCs w:val="22"/>
        </w:rPr>
      </w:pPr>
      <w:r w:rsidRPr="00544365">
        <w:rPr>
          <w:b/>
          <w:sz w:val="22"/>
          <w:szCs w:val="22"/>
        </w:rPr>
        <w:t>Uji Penyimpangan Asumsi Klasik</w:t>
      </w:r>
    </w:p>
    <w:p w:rsidR="007D6FFD" w:rsidRPr="00544365" w:rsidRDefault="007D6FFD" w:rsidP="00544365">
      <w:pPr>
        <w:autoSpaceDE w:val="0"/>
        <w:autoSpaceDN w:val="0"/>
        <w:adjustRightInd w:val="0"/>
        <w:spacing w:line="360" w:lineRule="auto"/>
        <w:ind w:firstLine="284"/>
        <w:rPr>
          <w:sz w:val="22"/>
          <w:szCs w:val="22"/>
        </w:rPr>
      </w:pPr>
      <w:r w:rsidRPr="00544365">
        <w:rPr>
          <w:sz w:val="22"/>
          <w:szCs w:val="22"/>
        </w:rPr>
        <w:t xml:space="preserve">Dalam melakukan estimasi persamaan linier berganda dengan menggunakan metode OLS, maka asumsi-asumsi dari OLS harus dipenuhi. Apabila asumsi tidak terpenuhi, maka tidak akan dapat menghasilkan nilai parameter yang BLUE </w:t>
      </w:r>
      <w:r w:rsidRPr="00544365">
        <w:rPr>
          <w:i/>
          <w:iCs/>
          <w:sz w:val="22"/>
          <w:szCs w:val="22"/>
        </w:rPr>
        <w:t>(Best Linier Unbiased Estimator)</w:t>
      </w:r>
      <w:r w:rsidRPr="00544365">
        <w:rPr>
          <w:sz w:val="22"/>
          <w:szCs w:val="22"/>
        </w:rPr>
        <w:t xml:space="preserve">. </w:t>
      </w:r>
    </w:p>
    <w:p w:rsidR="007D6FFD" w:rsidRPr="00544365" w:rsidRDefault="007D6FFD" w:rsidP="00544365">
      <w:pPr>
        <w:autoSpaceDE w:val="0"/>
        <w:autoSpaceDN w:val="0"/>
        <w:adjustRightInd w:val="0"/>
        <w:spacing w:line="360" w:lineRule="auto"/>
        <w:ind w:firstLine="284"/>
        <w:rPr>
          <w:sz w:val="22"/>
          <w:szCs w:val="22"/>
        </w:rPr>
      </w:pPr>
      <w:r w:rsidRPr="00544365">
        <w:rPr>
          <w:sz w:val="22"/>
          <w:szCs w:val="22"/>
        </w:rPr>
        <w:t>Berdasarkan keadaan tersebut di dalam ilmu ekonometrika, agar suatu model dikatakan baik dan efisien maka perlu dilakukan pengujian sebagai berikut:</w:t>
      </w:r>
    </w:p>
    <w:p w:rsidR="007D6FFD" w:rsidRPr="00544365" w:rsidRDefault="007D6FFD" w:rsidP="00544365">
      <w:pPr>
        <w:pStyle w:val="HTMLPreformatted"/>
        <w:numPr>
          <w:ilvl w:val="0"/>
          <w:numId w:val="2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284" w:hanging="284"/>
        <w:jc w:val="both"/>
        <w:rPr>
          <w:rFonts w:ascii="Times New Roman" w:hAnsi="Times New Roman" w:cs="Times New Roman"/>
          <w:b/>
          <w:sz w:val="22"/>
          <w:szCs w:val="22"/>
          <w:lang w:val="en-US"/>
        </w:rPr>
      </w:pPr>
      <w:r w:rsidRPr="00544365">
        <w:rPr>
          <w:rFonts w:ascii="Times New Roman" w:hAnsi="Times New Roman" w:cs="Times New Roman"/>
          <w:b/>
          <w:sz w:val="22"/>
          <w:szCs w:val="22"/>
        </w:rPr>
        <w:t>Uji Normalitas</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rPr>
        <w:t>Kriteria yang digunakan adalah jika nilai probabilitas Jarque-Bera (JB) test&gt;alpha (0,05), maka data dikatakan berdistribusi normal.</w:t>
      </w:r>
    </w:p>
    <w:p w:rsidR="007D6FFD" w:rsidRPr="00544365" w:rsidRDefault="007D6FFD" w:rsidP="00544365">
      <w:pPr>
        <w:pStyle w:val="HTMLPreformatted"/>
        <w:numPr>
          <w:ilvl w:val="0"/>
          <w:numId w:val="2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284" w:hanging="284"/>
        <w:jc w:val="both"/>
        <w:rPr>
          <w:rFonts w:ascii="Times New Roman" w:hAnsi="Times New Roman" w:cs="Times New Roman"/>
          <w:b/>
          <w:sz w:val="22"/>
          <w:szCs w:val="22"/>
        </w:rPr>
      </w:pPr>
      <w:r w:rsidRPr="00544365">
        <w:rPr>
          <w:rFonts w:ascii="Times New Roman" w:hAnsi="Times New Roman" w:cs="Times New Roman"/>
          <w:b/>
          <w:sz w:val="22"/>
          <w:szCs w:val="22"/>
        </w:rPr>
        <w:t>Uji Multikolinieritas</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lang w:val="en-US"/>
        </w:rPr>
        <w:t xml:space="preserve">Menghitung nilai </w:t>
      </w:r>
      <w:r w:rsidRPr="00544365">
        <w:rPr>
          <w:rFonts w:ascii="Times New Roman" w:hAnsi="Times New Roman" w:cs="Times New Roman"/>
          <w:i/>
          <w:sz w:val="22"/>
          <w:szCs w:val="22"/>
          <w:lang w:val="en-US"/>
        </w:rPr>
        <w:t xml:space="preserve">Variance Inflastion Factor (VIF) </w:t>
      </w:r>
      <w:r w:rsidRPr="00544365">
        <w:rPr>
          <w:rFonts w:ascii="Times New Roman" w:hAnsi="Times New Roman" w:cs="Times New Roman"/>
          <w:sz w:val="22"/>
          <w:szCs w:val="22"/>
          <w:lang w:val="en-US"/>
        </w:rPr>
        <w:t xml:space="preserve">dan </w:t>
      </w:r>
      <w:r w:rsidRPr="00544365">
        <w:rPr>
          <w:rFonts w:ascii="Times New Roman" w:hAnsi="Times New Roman" w:cs="Times New Roman"/>
          <w:i/>
          <w:sz w:val="22"/>
          <w:szCs w:val="22"/>
          <w:lang w:val="en-US"/>
        </w:rPr>
        <w:t>Tolerance (TOL)</w:t>
      </w:r>
      <w:r w:rsidRPr="00544365">
        <w:rPr>
          <w:rFonts w:ascii="Times New Roman" w:hAnsi="Times New Roman" w:cs="Times New Roman"/>
          <w:sz w:val="22"/>
          <w:szCs w:val="22"/>
          <w:lang w:val="en-US"/>
        </w:rPr>
        <w:t>, yaitu:</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i/>
          <w:sz w:val="22"/>
          <w:szCs w:val="22"/>
        </w:rPr>
        <w:t>VIP</w:t>
      </w:r>
      <w:r w:rsidRPr="00544365">
        <w:rPr>
          <w:rFonts w:ascii="Times New Roman" w:hAnsi="Times New Roman" w:cs="Times New Roman"/>
          <w:sz w:val="22"/>
          <w:szCs w:val="22"/>
        </w:rPr>
        <w:t xml:space="preserve"> = </w:t>
      </w:r>
      <m:oMath>
        <m:f>
          <m:fPr>
            <m:ctrlPr>
              <w:rPr>
                <w:rFonts w:ascii="Cambria Math" w:hAnsi="Times New Roman" w:cs="Times New Roman"/>
                <w:i/>
                <w:sz w:val="22"/>
                <w:szCs w:val="22"/>
              </w:rPr>
            </m:ctrlPr>
          </m:fPr>
          <m:num>
            <m:r>
              <w:rPr>
                <w:rFonts w:ascii="Cambria Math" w:hAnsi="Times New Roman" w:cs="Times New Roman"/>
                <w:sz w:val="22"/>
                <w:szCs w:val="22"/>
              </w:rPr>
              <m:t>1</m:t>
            </m:r>
          </m:num>
          <m:den>
            <m:sSubSup>
              <m:sSubSupPr>
                <m:ctrlPr>
                  <w:rPr>
                    <w:rFonts w:ascii="Cambria Math" w:hAnsi="Times New Roman" w:cs="Times New Roman"/>
                    <w:i/>
                    <w:sz w:val="22"/>
                    <w:szCs w:val="22"/>
                  </w:rPr>
                </m:ctrlPr>
              </m:sSubSupPr>
              <m:e>
                <m:r>
                  <w:rPr>
                    <w:rFonts w:ascii="Cambria Math" w:hAnsi="Times New Roman" w:cs="Times New Roman"/>
                    <w:sz w:val="22"/>
                    <w:szCs w:val="22"/>
                  </w:rPr>
                  <m:t>1</m:t>
                </m:r>
                <m:r>
                  <w:rPr>
                    <w:rFonts w:ascii="Times New Roman" w:hAnsi="Times New Roman" w:cs="Times New Roman"/>
                    <w:sz w:val="22"/>
                    <w:szCs w:val="22"/>
                  </w:rPr>
                  <m:t>-</m:t>
                </m:r>
                <m:r>
                  <w:rPr>
                    <w:rFonts w:ascii="Cambria Math" w:hAnsi="Times New Roman" w:cs="Times New Roman"/>
                    <w:sz w:val="22"/>
                    <w:szCs w:val="22"/>
                  </w:rPr>
                  <m:t xml:space="preserve"> </m:t>
                </m:r>
                <m:r>
                  <w:rPr>
                    <w:rFonts w:ascii="Cambria Math" w:hAnsi="Cambria Math" w:cs="Times New Roman"/>
                    <w:sz w:val="22"/>
                    <w:szCs w:val="22"/>
                  </w:rPr>
                  <m:t>r</m:t>
                </m:r>
              </m:e>
              <m:sub>
                <m:r>
                  <w:rPr>
                    <w:rFonts w:ascii="Cambria Math" w:hAnsi="Times New Roman" w:cs="Times New Roman"/>
                    <w:sz w:val="22"/>
                    <w:szCs w:val="22"/>
                  </w:rPr>
                  <m:t>12</m:t>
                </m:r>
              </m:sub>
              <m:sup>
                <m:r>
                  <w:rPr>
                    <w:rFonts w:ascii="Cambria Math" w:hAnsi="Times New Roman" w:cs="Times New Roman"/>
                    <w:sz w:val="22"/>
                    <w:szCs w:val="22"/>
                  </w:rPr>
                  <m:t>2</m:t>
                </m:r>
              </m:sup>
            </m:sSubSup>
          </m:den>
        </m:f>
        <m:r>
          <w:rPr>
            <w:rFonts w:ascii="Cambria Math" w:hAnsi="Times New Roman" w:cs="Times New Roman"/>
            <w:sz w:val="22"/>
            <w:szCs w:val="22"/>
            <w:lang w:val="en-US"/>
          </w:rPr>
          <m:t xml:space="preserve"> </m:t>
        </m:r>
      </m:oMath>
    </w:p>
    <w:p w:rsidR="007D6FFD" w:rsidRPr="00544365" w:rsidRDefault="007D6FFD" w:rsidP="00544365">
      <w:pPr>
        <w:spacing w:line="360" w:lineRule="auto"/>
        <w:ind w:firstLine="284"/>
        <w:rPr>
          <w:sz w:val="22"/>
          <w:szCs w:val="22"/>
        </w:rPr>
      </w:pPr>
      <w:r w:rsidRPr="00544365">
        <w:rPr>
          <w:sz w:val="22"/>
          <w:szCs w:val="22"/>
        </w:rPr>
        <w:t xml:space="preserve">Varian koefisien model regresi secara langsung proporsional dengan VIF. Invers atau kebalikan dari VIP adalah </w:t>
      </w:r>
      <w:r w:rsidRPr="00544365">
        <w:rPr>
          <w:i/>
          <w:sz w:val="22"/>
          <w:szCs w:val="22"/>
        </w:rPr>
        <w:t>tolerance</w:t>
      </w:r>
      <w:r w:rsidRPr="00544365">
        <w:rPr>
          <w:sz w:val="22"/>
          <w:szCs w:val="22"/>
        </w:rPr>
        <w:t xml:space="preserve"> (TOL), yaitu:</w:t>
      </w:r>
    </w:p>
    <w:p w:rsidR="007D6FFD" w:rsidRPr="00544365" w:rsidRDefault="007D6FFD" w:rsidP="007D6FFD">
      <w:pPr>
        <w:spacing w:line="360" w:lineRule="auto"/>
        <w:ind w:firstLine="567"/>
        <w:rPr>
          <w:sz w:val="22"/>
          <w:szCs w:val="22"/>
        </w:rPr>
      </w:pPr>
      <w:r w:rsidRPr="00544365">
        <w:rPr>
          <w:sz w:val="22"/>
          <w:szCs w:val="22"/>
        </w:rPr>
        <w:tab/>
      </w:r>
      <w:r w:rsidRPr="00544365">
        <w:rPr>
          <w:sz w:val="22"/>
          <w:szCs w:val="22"/>
        </w:rPr>
        <w:tab/>
      </w:r>
      <w:r w:rsidRPr="00544365">
        <w:rPr>
          <w:i/>
          <w:sz w:val="22"/>
          <w:szCs w:val="22"/>
        </w:rPr>
        <w:t>TOL</w:t>
      </w:r>
      <w:r w:rsidRPr="00544365">
        <w:rPr>
          <w:sz w:val="22"/>
          <w:szCs w:val="22"/>
        </w:rPr>
        <w:t xml:space="preserve"> = </w:t>
      </w:r>
      <m:oMath>
        <m:f>
          <m:fPr>
            <m:ctrlPr>
              <w:rPr>
                <w:rFonts w:ascii="Cambria Math"/>
                <w:i/>
                <w:sz w:val="22"/>
                <w:szCs w:val="22"/>
              </w:rPr>
            </m:ctrlPr>
          </m:fPr>
          <m:num>
            <m:r>
              <w:rPr>
                <w:rFonts w:ascii="Cambria Math"/>
                <w:sz w:val="22"/>
                <w:szCs w:val="22"/>
              </w:rPr>
              <m:t>1</m:t>
            </m:r>
          </m:num>
          <m:den>
            <m:r>
              <w:rPr>
                <w:rFonts w:ascii="Cambria Math" w:hAnsi="Cambria Math"/>
                <w:sz w:val="22"/>
                <w:szCs w:val="22"/>
              </w:rPr>
              <m:t>VIP</m:t>
            </m:r>
          </m:den>
        </m:f>
      </m:oMath>
      <w:r w:rsidRPr="00544365">
        <w:rPr>
          <w:sz w:val="22"/>
          <w:szCs w:val="22"/>
        </w:rPr>
        <w:t xml:space="preserve"> = 1 – </w:t>
      </w:r>
      <m:oMath>
        <m:sSubSup>
          <m:sSubSupPr>
            <m:ctrlPr>
              <w:rPr>
                <w:rFonts w:ascii="Cambria Math"/>
                <w:i/>
                <w:sz w:val="22"/>
                <w:szCs w:val="22"/>
              </w:rPr>
            </m:ctrlPr>
          </m:sSubSupPr>
          <m:e>
            <m:r>
              <w:rPr>
                <w:rFonts w:ascii="Cambria Math" w:hAnsi="Cambria Math"/>
                <w:sz w:val="22"/>
                <w:szCs w:val="22"/>
              </w:rPr>
              <m:t>R</m:t>
            </m:r>
          </m:e>
          <m:sub>
            <m:r>
              <w:rPr>
                <w:rFonts w:ascii="Cambria Math" w:hAnsi="Cambria Math"/>
                <w:sz w:val="22"/>
                <w:szCs w:val="22"/>
              </w:rPr>
              <m:t>j</m:t>
            </m:r>
          </m:sub>
          <m:sup>
            <m:r>
              <w:rPr>
                <w:rFonts w:ascii="Cambria Math"/>
                <w:sz w:val="22"/>
                <w:szCs w:val="22"/>
              </w:rPr>
              <m:t>2</m:t>
            </m:r>
          </m:sup>
        </m:sSubSup>
      </m:oMath>
    </w:p>
    <w:p w:rsidR="007D6FFD" w:rsidRPr="00544365" w:rsidRDefault="007D6FFD" w:rsidP="00544365">
      <w:pPr>
        <w:pStyle w:val="HTMLPreformatted"/>
        <w:numPr>
          <w:ilvl w:val="0"/>
          <w:numId w:val="2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284" w:hanging="284"/>
        <w:jc w:val="both"/>
        <w:rPr>
          <w:rFonts w:ascii="Times New Roman" w:hAnsi="Times New Roman" w:cs="Times New Roman"/>
          <w:b/>
          <w:sz w:val="22"/>
          <w:szCs w:val="22"/>
        </w:rPr>
      </w:pPr>
      <w:r w:rsidRPr="00544365">
        <w:rPr>
          <w:rFonts w:ascii="Times New Roman" w:hAnsi="Times New Roman" w:cs="Times New Roman"/>
          <w:b/>
          <w:sz w:val="22"/>
          <w:szCs w:val="22"/>
        </w:rPr>
        <w:t xml:space="preserve">Uji </w:t>
      </w:r>
      <w:r w:rsidRPr="00544365">
        <w:rPr>
          <w:rFonts w:ascii="Times New Roman" w:hAnsi="Times New Roman" w:cs="Times New Roman"/>
          <w:b/>
          <w:sz w:val="22"/>
          <w:szCs w:val="22"/>
          <w:lang w:val="en-US"/>
        </w:rPr>
        <w:t>Heteroskedasitas</w:t>
      </w:r>
    </w:p>
    <w:p w:rsidR="007D6FFD" w:rsidRPr="00544365" w:rsidRDefault="007D6FFD" w:rsidP="00544365">
      <w:pPr>
        <w:spacing w:line="360" w:lineRule="auto"/>
        <w:ind w:firstLine="284"/>
        <w:rPr>
          <w:sz w:val="22"/>
          <w:szCs w:val="22"/>
        </w:rPr>
      </w:pPr>
      <w:r w:rsidRPr="00544365">
        <w:rPr>
          <w:sz w:val="22"/>
          <w:szCs w:val="22"/>
        </w:rPr>
        <w:t xml:space="preserve">Heteroskedasitas dapat dideteksi dengan metode grafik Gujarati (2012) transformasi dengan program E-Views, yakni: jika terdapat pola tertentu pada penyebaran titik-titik variabel gangguan, maka telah terjadi heteroskedasitas. Sebalikanya, jika tidak terdapat pola yang jelas, titik-titik variabel gangguan menyebar di atas </w:t>
      </w:r>
      <w:r w:rsidRPr="00544365">
        <w:rPr>
          <w:sz w:val="22"/>
          <w:szCs w:val="22"/>
        </w:rPr>
        <w:lastRenderedPageBreak/>
        <w:t xml:space="preserve">dan di bawah 0 (nol), maka tidak terjadi heteroskedasitas. </w:t>
      </w:r>
    </w:p>
    <w:p w:rsidR="007D6FFD" w:rsidRPr="00544365" w:rsidRDefault="007D6FFD" w:rsidP="00544365">
      <w:pPr>
        <w:pStyle w:val="HTMLPreformatted"/>
        <w:numPr>
          <w:ilvl w:val="0"/>
          <w:numId w:val="2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284" w:hanging="284"/>
        <w:jc w:val="both"/>
        <w:rPr>
          <w:rFonts w:ascii="Times New Roman" w:hAnsi="Times New Roman" w:cs="Times New Roman"/>
          <w:b/>
          <w:sz w:val="22"/>
          <w:szCs w:val="22"/>
        </w:rPr>
      </w:pPr>
      <w:r w:rsidRPr="00544365">
        <w:rPr>
          <w:rFonts w:ascii="Times New Roman" w:hAnsi="Times New Roman" w:cs="Times New Roman"/>
          <w:b/>
          <w:sz w:val="22"/>
          <w:szCs w:val="22"/>
        </w:rPr>
        <w:t>Uji Autokorelasi</w:t>
      </w:r>
    </w:p>
    <w:p w:rsidR="007D6FFD" w:rsidRPr="00544365" w:rsidRDefault="007D6FFD" w:rsidP="00544365">
      <w:pPr>
        <w:spacing w:line="360" w:lineRule="auto"/>
        <w:ind w:firstLine="284"/>
        <w:rPr>
          <w:sz w:val="22"/>
          <w:szCs w:val="22"/>
        </w:rPr>
      </w:pPr>
      <w:r w:rsidRPr="00544365">
        <w:rPr>
          <w:sz w:val="22"/>
          <w:szCs w:val="22"/>
        </w:rPr>
        <w:t xml:space="preserve">Pengujian ada atau tidaknya autokorelasi dalam persamaan regresi ini dilakukan dengan melihat keadaan nilai Durbin Watson (DW test). Metode yang digunakan untuk mendekteksi autokorelasi dilakukan dengan cara, yaitu LM </w:t>
      </w:r>
      <w:r w:rsidRPr="00544365">
        <w:rPr>
          <w:i/>
          <w:sz w:val="22"/>
          <w:szCs w:val="22"/>
        </w:rPr>
        <w:t>Test</w:t>
      </w:r>
      <w:r w:rsidRPr="00544365">
        <w:rPr>
          <w:sz w:val="22"/>
          <w:szCs w:val="22"/>
        </w:rPr>
        <w:t xml:space="preserve">. </w:t>
      </w:r>
    </w:p>
    <w:p w:rsidR="007D6FFD" w:rsidRPr="00544365" w:rsidRDefault="007D6FFD" w:rsidP="007D6FFD">
      <w:pPr>
        <w:spacing w:line="360" w:lineRule="auto"/>
        <w:ind w:firstLine="567"/>
        <w:rPr>
          <w:sz w:val="22"/>
          <w:szCs w:val="22"/>
        </w:rPr>
      </w:pPr>
    </w:p>
    <w:p w:rsidR="007D6FFD" w:rsidRPr="00544365" w:rsidRDefault="007D6FFD" w:rsidP="00544365">
      <w:pPr>
        <w:spacing w:line="360" w:lineRule="auto"/>
        <w:ind w:firstLine="0"/>
        <w:rPr>
          <w:b/>
          <w:bCs/>
          <w:sz w:val="22"/>
          <w:szCs w:val="22"/>
        </w:rPr>
      </w:pPr>
      <w:r w:rsidRPr="00544365">
        <w:rPr>
          <w:b/>
          <w:bCs/>
          <w:sz w:val="22"/>
          <w:szCs w:val="22"/>
        </w:rPr>
        <w:t xml:space="preserve">Uji Statistik </w:t>
      </w:r>
    </w:p>
    <w:p w:rsidR="007D6FFD" w:rsidRPr="00544365" w:rsidRDefault="007D6FFD" w:rsidP="0054436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sz w:val="22"/>
          <w:szCs w:val="22"/>
          <w:lang w:val="en-US"/>
        </w:rPr>
      </w:pPr>
      <w:r w:rsidRPr="00544365">
        <w:rPr>
          <w:rFonts w:ascii="Times New Roman" w:hAnsi="Times New Roman" w:cs="Times New Roman"/>
          <w:sz w:val="22"/>
          <w:szCs w:val="22"/>
        </w:rPr>
        <w:t>Uji koefisien determinan (R</w:t>
      </w:r>
      <w:r w:rsidRPr="00544365">
        <w:rPr>
          <w:rFonts w:ascii="Times New Roman" w:hAnsi="Times New Roman" w:cs="Times New Roman"/>
          <w:sz w:val="22"/>
          <w:szCs w:val="22"/>
          <w:vertAlign w:val="superscript"/>
        </w:rPr>
        <w:t>2</w:t>
      </w:r>
      <w:r w:rsidRPr="00544365">
        <w:rPr>
          <w:rFonts w:ascii="Times New Roman" w:hAnsi="Times New Roman" w:cs="Times New Roman"/>
          <w:sz w:val="22"/>
          <w:szCs w:val="22"/>
        </w:rPr>
        <w:t>) digunakan untuk mengetahui kedekatan hubungan dari model yang dikembangkan. Uji signifikan parameter atau disebut juga t-test, digunakan untuk mengetahui pengaruh secara parsial dari setiap variabel bebas terhadap variabel terikat. Apabila nilai t</w:t>
      </w:r>
      <w:r w:rsidRPr="00544365">
        <w:rPr>
          <w:rFonts w:ascii="Times New Roman" w:hAnsi="Times New Roman" w:cs="Times New Roman"/>
          <w:sz w:val="22"/>
          <w:szCs w:val="22"/>
          <w:vertAlign w:val="subscript"/>
        </w:rPr>
        <w:t>hitung</w:t>
      </w:r>
      <w:r w:rsidRPr="00544365">
        <w:rPr>
          <w:rFonts w:ascii="Times New Roman" w:hAnsi="Times New Roman" w:cs="Times New Roman"/>
          <w:sz w:val="22"/>
          <w:szCs w:val="22"/>
        </w:rPr>
        <w:t xml:space="preserve"> lebih besar dari nilai kritis t</w:t>
      </w:r>
      <w:r w:rsidRPr="00544365">
        <w:rPr>
          <w:rFonts w:ascii="Times New Roman" w:hAnsi="Times New Roman" w:cs="Times New Roman"/>
          <w:sz w:val="22"/>
          <w:szCs w:val="22"/>
          <w:vertAlign w:val="subscript"/>
        </w:rPr>
        <w:t>tabel</w:t>
      </w:r>
      <w:r w:rsidRPr="00544365">
        <w:rPr>
          <w:rFonts w:ascii="Times New Roman" w:hAnsi="Times New Roman" w:cs="Times New Roman"/>
          <w:sz w:val="22"/>
          <w:szCs w:val="22"/>
        </w:rPr>
        <w:t xml:space="preserve"> pada tingkat signifikansi tertentu dengan derajat kebebasan n-k-l maka Ho ditolak berarti variabel bebas berpengaruh nyata secara statistik terhadap variabel terikat, dan berlaku untuk sebaliknya.</w:t>
      </w:r>
    </w:p>
    <w:p w:rsidR="00654367" w:rsidRDefault="00654367" w:rsidP="00544365">
      <w:pPr>
        <w:pStyle w:val="08paragraf"/>
        <w:ind w:firstLine="284"/>
        <w:rPr>
          <w:szCs w:val="22"/>
          <w:lang w:val="en-US"/>
        </w:rPr>
      </w:pPr>
      <w:r w:rsidRPr="00544365">
        <w:rPr>
          <w:szCs w:val="22"/>
        </w:rPr>
        <w:t xml:space="preserve">Metode penelitian berisi bahan-bahan utama yang digunakan dalam penelitian dan metode yang digunakan dalam pemecahan permasalahan termasuk metode analisis. Metode Penelitian mengungkapkan cara-cara yang digunakan dalam proses penelitian. </w:t>
      </w:r>
    </w:p>
    <w:p w:rsidR="00544365" w:rsidRPr="00544365" w:rsidRDefault="00544365" w:rsidP="00544365">
      <w:pPr>
        <w:pStyle w:val="08paragraf"/>
        <w:ind w:firstLine="284"/>
        <w:rPr>
          <w:szCs w:val="22"/>
          <w:lang w:val="en-US"/>
        </w:rPr>
      </w:pPr>
    </w:p>
    <w:p w:rsidR="00654367" w:rsidRPr="00544365" w:rsidRDefault="00654367" w:rsidP="00544365">
      <w:pPr>
        <w:pStyle w:val="07aSubJudul"/>
        <w:spacing w:before="0"/>
        <w:ind w:left="284" w:hanging="284"/>
        <w:rPr>
          <w:sz w:val="22"/>
          <w:szCs w:val="22"/>
        </w:rPr>
      </w:pPr>
      <w:r w:rsidRPr="00544365">
        <w:rPr>
          <w:sz w:val="22"/>
          <w:szCs w:val="22"/>
        </w:rPr>
        <w:t xml:space="preserve">HASIL </w:t>
      </w:r>
      <w:r w:rsidRPr="00544365">
        <w:rPr>
          <w:sz w:val="22"/>
          <w:szCs w:val="22"/>
          <w:lang w:val="id-ID"/>
        </w:rPr>
        <w:t xml:space="preserve">DAN </w:t>
      </w:r>
      <w:r w:rsidRPr="00544365">
        <w:rPr>
          <w:sz w:val="22"/>
          <w:szCs w:val="22"/>
        </w:rPr>
        <w:t>PEMBAHASAN</w:t>
      </w:r>
    </w:p>
    <w:p w:rsidR="005B7509" w:rsidRPr="00544365" w:rsidRDefault="005B7509" w:rsidP="00544365">
      <w:pPr>
        <w:spacing w:line="360" w:lineRule="auto"/>
        <w:ind w:left="284" w:hanging="284"/>
        <w:rPr>
          <w:b/>
          <w:sz w:val="22"/>
          <w:szCs w:val="22"/>
        </w:rPr>
      </w:pPr>
      <w:r w:rsidRPr="00544365">
        <w:rPr>
          <w:b/>
          <w:sz w:val="22"/>
          <w:szCs w:val="22"/>
        </w:rPr>
        <w:t>Pemilihan Model Dengan Uji Hausman</w:t>
      </w:r>
    </w:p>
    <w:p w:rsidR="005B7509" w:rsidRDefault="005B7509" w:rsidP="000D1209">
      <w:pPr>
        <w:pStyle w:val="ListParagraph"/>
        <w:spacing w:after="0" w:line="360" w:lineRule="auto"/>
        <w:ind w:left="0" w:firstLine="284"/>
        <w:jc w:val="both"/>
        <w:rPr>
          <w:rFonts w:ascii="Times New Roman" w:hAnsi="Times New Roman"/>
          <w:sz w:val="24"/>
          <w:szCs w:val="24"/>
        </w:rPr>
      </w:pPr>
      <w:r>
        <w:rPr>
          <w:rFonts w:ascii="Times New Roman" w:hAnsi="Times New Roman"/>
          <w:sz w:val="24"/>
          <w:szCs w:val="24"/>
        </w:rPr>
        <w:t xml:space="preserve">Pemilihan model dalam penelitian ini menggunakan uji Hausman untuk memilih </w:t>
      </w:r>
      <w:r>
        <w:rPr>
          <w:rFonts w:ascii="Times New Roman" w:hAnsi="Times New Roman"/>
          <w:sz w:val="24"/>
          <w:szCs w:val="24"/>
        </w:rPr>
        <w:lastRenderedPageBreak/>
        <w:t xml:space="preserve">model </w:t>
      </w:r>
      <w:r>
        <w:rPr>
          <w:rFonts w:ascii="Times New Roman" w:hAnsi="Times New Roman"/>
          <w:i/>
          <w:sz w:val="24"/>
          <w:szCs w:val="24"/>
        </w:rPr>
        <w:t xml:space="preserve">Fixed Effect </w:t>
      </w:r>
      <w:r>
        <w:rPr>
          <w:rFonts w:ascii="Times New Roman" w:hAnsi="Times New Roman"/>
          <w:sz w:val="24"/>
          <w:szCs w:val="24"/>
        </w:rPr>
        <w:t xml:space="preserve">atau </w:t>
      </w:r>
      <w:r>
        <w:rPr>
          <w:rFonts w:ascii="Times New Roman" w:hAnsi="Times New Roman"/>
          <w:i/>
          <w:sz w:val="24"/>
          <w:szCs w:val="24"/>
        </w:rPr>
        <w:t xml:space="preserve">Random Effect. </w:t>
      </w:r>
      <w:r>
        <w:rPr>
          <w:rFonts w:ascii="Times New Roman" w:hAnsi="Times New Roman"/>
          <w:sz w:val="24"/>
          <w:szCs w:val="24"/>
        </w:rPr>
        <w:t>Berikut ini tabel hasil uji Hausman</w:t>
      </w:r>
    </w:p>
    <w:p w:rsidR="005B7509" w:rsidRPr="000D1209" w:rsidRDefault="005B7509" w:rsidP="000D1209">
      <w:pPr>
        <w:ind w:firstLine="0"/>
        <w:rPr>
          <w:sz w:val="18"/>
          <w:szCs w:val="18"/>
        </w:rPr>
      </w:pPr>
      <w:r w:rsidRPr="000D1209">
        <w:rPr>
          <w:b/>
          <w:sz w:val="18"/>
          <w:szCs w:val="18"/>
        </w:rPr>
        <w:t>Tabel 1. Hasil Pemilihan Model Dengan Uji Hausman</w:t>
      </w:r>
    </w:p>
    <w:tbl>
      <w:tblPr>
        <w:tblStyle w:val="TableGrid"/>
        <w:tblpPr w:leftFromText="180" w:rightFromText="180" w:vertAnchor="page" w:horzAnchor="margin" w:tblpY="2671"/>
        <w:tblW w:w="4902" w:type="dxa"/>
        <w:tblLook w:val="04A0"/>
      </w:tblPr>
      <w:tblGrid>
        <w:gridCol w:w="2104"/>
        <w:gridCol w:w="961"/>
        <w:gridCol w:w="964"/>
        <w:gridCol w:w="873"/>
      </w:tblGrid>
      <w:tr w:rsidR="000D1209" w:rsidTr="000D1209">
        <w:tc>
          <w:tcPr>
            <w:tcW w:w="2104" w:type="dxa"/>
          </w:tcPr>
          <w:p w:rsidR="000D1209" w:rsidRPr="005B7509" w:rsidRDefault="000D1209" w:rsidP="000D1209">
            <w:pPr>
              <w:pStyle w:val="ListParagraph"/>
              <w:spacing w:line="240" w:lineRule="auto"/>
              <w:ind w:left="0"/>
              <w:jc w:val="center"/>
              <w:rPr>
                <w:rFonts w:ascii="Times New Roman" w:hAnsi="Times New Roman"/>
                <w:b/>
                <w:sz w:val="16"/>
                <w:szCs w:val="16"/>
              </w:rPr>
            </w:pPr>
            <w:r w:rsidRPr="005B7509">
              <w:rPr>
                <w:rFonts w:ascii="Times New Roman" w:hAnsi="Times New Roman"/>
                <w:b/>
                <w:sz w:val="16"/>
                <w:szCs w:val="16"/>
              </w:rPr>
              <w:t>Model</w:t>
            </w:r>
          </w:p>
        </w:tc>
        <w:tc>
          <w:tcPr>
            <w:tcW w:w="961" w:type="dxa"/>
          </w:tcPr>
          <w:p w:rsidR="000D1209" w:rsidRPr="005B7509" w:rsidRDefault="000D1209" w:rsidP="000D1209">
            <w:pPr>
              <w:pStyle w:val="ListParagraph"/>
              <w:spacing w:line="240" w:lineRule="auto"/>
              <w:ind w:left="0"/>
              <w:jc w:val="center"/>
              <w:rPr>
                <w:rFonts w:ascii="Times New Roman" w:hAnsi="Times New Roman"/>
                <w:b/>
                <w:sz w:val="16"/>
                <w:szCs w:val="16"/>
                <w:lang w:val="en-US"/>
              </w:rPr>
            </w:pPr>
            <w:r w:rsidRPr="005B7509">
              <w:rPr>
                <w:rFonts w:ascii="Times New Roman" w:hAnsi="Times New Roman"/>
                <w:b/>
                <w:sz w:val="16"/>
                <w:szCs w:val="16"/>
              </w:rPr>
              <w:t>Hausman</w:t>
            </w:r>
          </w:p>
          <w:p w:rsidR="000D1209" w:rsidRPr="005B7509" w:rsidRDefault="000D1209" w:rsidP="000D1209">
            <w:pPr>
              <w:pStyle w:val="ListParagraph"/>
              <w:spacing w:line="240" w:lineRule="auto"/>
              <w:ind w:left="0"/>
              <w:jc w:val="center"/>
              <w:rPr>
                <w:rFonts w:ascii="Times New Roman" w:hAnsi="Times New Roman"/>
                <w:b/>
                <w:sz w:val="16"/>
                <w:szCs w:val="16"/>
              </w:rPr>
            </w:pPr>
            <w:r w:rsidRPr="005B7509">
              <w:rPr>
                <w:rFonts w:ascii="Times New Roman" w:hAnsi="Times New Roman"/>
                <w:b/>
                <w:sz w:val="16"/>
                <w:szCs w:val="16"/>
              </w:rPr>
              <w:t>Test</w:t>
            </w:r>
          </w:p>
        </w:tc>
        <w:tc>
          <w:tcPr>
            <w:tcW w:w="964" w:type="dxa"/>
          </w:tcPr>
          <w:p w:rsidR="000D1209" w:rsidRPr="005B7509" w:rsidRDefault="000D1209" w:rsidP="000D1209">
            <w:pPr>
              <w:pStyle w:val="ListParagraph"/>
              <w:spacing w:line="240" w:lineRule="auto"/>
              <w:ind w:left="0"/>
              <w:jc w:val="center"/>
              <w:rPr>
                <w:rFonts w:ascii="Times New Roman" w:hAnsi="Times New Roman"/>
                <w:b/>
                <w:sz w:val="16"/>
                <w:szCs w:val="16"/>
                <w:lang w:val="en-US"/>
              </w:rPr>
            </w:pPr>
            <w:r w:rsidRPr="005B7509">
              <w:rPr>
                <w:rFonts w:ascii="Times New Roman" w:hAnsi="Times New Roman"/>
                <w:b/>
                <w:sz w:val="16"/>
                <w:szCs w:val="16"/>
              </w:rPr>
              <w:t xml:space="preserve">Chi </w:t>
            </w:r>
          </w:p>
          <w:p w:rsidR="000D1209" w:rsidRPr="005B7509" w:rsidRDefault="000D1209" w:rsidP="000D1209">
            <w:pPr>
              <w:pStyle w:val="ListParagraph"/>
              <w:spacing w:line="240" w:lineRule="auto"/>
              <w:ind w:left="0"/>
              <w:jc w:val="center"/>
              <w:rPr>
                <w:rFonts w:ascii="Times New Roman" w:hAnsi="Times New Roman"/>
                <w:b/>
                <w:sz w:val="16"/>
                <w:szCs w:val="16"/>
              </w:rPr>
            </w:pPr>
            <w:r w:rsidRPr="005B7509">
              <w:rPr>
                <w:rFonts w:ascii="Times New Roman" w:hAnsi="Times New Roman"/>
                <w:b/>
                <w:sz w:val="16"/>
                <w:szCs w:val="16"/>
              </w:rPr>
              <w:t>Square.</w:t>
            </w:r>
          </w:p>
        </w:tc>
        <w:tc>
          <w:tcPr>
            <w:tcW w:w="873" w:type="dxa"/>
          </w:tcPr>
          <w:p w:rsidR="000D1209" w:rsidRPr="005B7509" w:rsidRDefault="000D1209" w:rsidP="000D1209">
            <w:pPr>
              <w:pStyle w:val="ListParagraph"/>
              <w:spacing w:line="240" w:lineRule="auto"/>
              <w:ind w:left="0"/>
              <w:jc w:val="center"/>
              <w:rPr>
                <w:rFonts w:ascii="Times New Roman" w:hAnsi="Times New Roman"/>
                <w:b/>
                <w:sz w:val="16"/>
                <w:szCs w:val="16"/>
              </w:rPr>
            </w:pPr>
            <w:r w:rsidRPr="005B7509">
              <w:rPr>
                <w:rFonts w:ascii="Times New Roman" w:hAnsi="Times New Roman"/>
                <w:b/>
                <w:sz w:val="16"/>
                <w:szCs w:val="16"/>
              </w:rPr>
              <w:t>Hasil</w:t>
            </w:r>
          </w:p>
        </w:tc>
      </w:tr>
      <w:tr w:rsidR="000D1209" w:rsidTr="000D1209">
        <w:tc>
          <w:tcPr>
            <w:tcW w:w="2104" w:type="dxa"/>
          </w:tcPr>
          <w:p w:rsidR="000D1209" w:rsidRPr="005B7509" w:rsidRDefault="000D1209" w:rsidP="000D1209">
            <w:pPr>
              <w:pStyle w:val="ListParagraph"/>
              <w:spacing w:line="240" w:lineRule="auto"/>
              <w:ind w:left="0"/>
              <w:jc w:val="both"/>
              <w:rPr>
                <w:rFonts w:ascii="Times New Roman" w:eastAsia="MS Mincho" w:hAnsi="Times New Roman"/>
                <w:sz w:val="16"/>
                <w:szCs w:val="16"/>
                <w:lang w:val="en-US"/>
              </w:rPr>
            </w:pPr>
            <m:oMathPara>
              <m:oMathParaPr>
                <m:jc m:val="left"/>
              </m:oMathParaPr>
              <m:oMath>
                <m:sSub>
                  <m:sSubPr>
                    <m:ctrlPr>
                      <w:rPr>
                        <w:rFonts w:ascii="Cambria Math" w:hAnsi="Cambria Math"/>
                        <w:i/>
                        <w:sz w:val="16"/>
                        <w:szCs w:val="16"/>
                      </w:rPr>
                    </m:ctrlPr>
                  </m:sSubPr>
                  <m:e>
                    <m:r>
                      <w:rPr>
                        <w:rFonts w:ascii="Cambria Math" w:hAnsi="Cambria Math"/>
                        <w:sz w:val="16"/>
                        <w:szCs w:val="16"/>
                      </w:rPr>
                      <m:t>IPM</m:t>
                    </m:r>
                  </m:e>
                  <m:sub>
                    <m:r>
                      <w:rPr>
                        <w:rFonts w:ascii="Cambria Math" w:hAnsi="Cambria Math"/>
                        <w:sz w:val="16"/>
                        <w:szCs w:val="16"/>
                      </w:rPr>
                      <m:t>it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0</m:t>
                    </m:r>
                  </m:sub>
                </m:sSub>
                <m:r>
                  <w:rPr>
                    <w:rFonts w:ascii="Cambria Math" w:hAnsi="Cambria Math"/>
                    <w:sz w:val="16"/>
                    <w:szCs w:val="16"/>
                  </w:rPr>
                  <m:t>+β1PDRBit</m:t>
                </m:r>
                <m:r>
                  <w:rPr>
                    <w:rFonts w:ascii="Cambria Math" w:hAnsi="Cambria Math"/>
                    <w:sz w:val="16"/>
                    <w:szCs w:val="16"/>
                  </w:rPr>
                  <m:t>+</m:t>
                </m:r>
              </m:oMath>
            </m:oMathPara>
          </w:p>
          <w:p w:rsidR="000D1209" w:rsidRPr="005B7509" w:rsidRDefault="000D1209" w:rsidP="000D1209">
            <w:pPr>
              <w:pStyle w:val="ListParagraph"/>
              <w:spacing w:line="240" w:lineRule="auto"/>
              <w:ind w:left="0"/>
              <w:jc w:val="both"/>
              <w:rPr>
                <w:rFonts w:ascii="Times New Roman" w:hAnsi="Times New Roman"/>
                <w:sz w:val="16"/>
                <w:szCs w:val="16"/>
              </w:rPr>
            </w:pPr>
            <m:oMathPara>
              <m:oMath>
                <m:r>
                  <w:rPr>
                    <w:rFonts w:ascii="Cambria Math" w:hAnsi="Cambria Math"/>
                    <w:sz w:val="16"/>
                    <w:szCs w:val="16"/>
                  </w:rPr>
                  <m:t>β2JPit+β3APit+</m:t>
                </m:r>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it</m:t>
                    </m:r>
                  </m:sub>
                </m:sSub>
              </m:oMath>
            </m:oMathPara>
          </w:p>
        </w:tc>
        <w:tc>
          <w:tcPr>
            <w:tcW w:w="961" w:type="dxa"/>
          </w:tcPr>
          <w:p w:rsidR="000D1209" w:rsidRPr="005B7509" w:rsidRDefault="000D1209" w:rsidP="000D1209">
            <w:pPr>
              <w:pStyle w:val="ListParagraph"/>
              <w:spacing w:line="240" w:lineRule="auto"/>
              <w:ind w:left="0"/>
              <w:jc w:val="both"/>
              <w:rPr>
                <w:rFonts w:ascii="Times New Roman" w:hAnsi="Times New Roman"/>
                <w:sz w:val="16"/>
                <w:szCs w:val="16"/>
              </w:rPr>
            </w:pPr>
            <w:r w:rsidRPr="005B7509">
              <w:rPr>
                <w:rFonts w:ascii="Arial" w:hAnsi="Arial" w:cs="Arial"/>
                <w:color w:val="000000"/>
                <w:sz w:val="16"/>
                <w:szCs w:val="16"/>
              </w:rPr>
              <w:t>0.0000</w:t>
            </w:r>
          </w:p>
        </w:tc>
        <w:tc>
          <w:tcPr>
            <w:tcW w:w="964" w:type="dxa"/>
          </w:tcPr>
          <w:p w:rsidR="000D1209" w:rsidRPr="005B7509" w:rsidRDefault="000D1209" w:rsidP="000D1209">
            <w:pPr>
              <w:pStyle w:val="ListParagraph"/>
              <w:spacing w:line="240" w:lineRule="auto"/>
              <w:ind w:left="0"/>
              <w:jc w:val="both"/>
              <w:rPr>
                <w:rFonts w:ascii="Times New Roman" w:hAnsi="Times New Roman"/>
                <w:sz w:val="16"/>
                <w:szCs w:val="16"/>
              </w:rPr>
            </w:pPr>
            <w:r w:rsidRPr="005B7509">
              <w:rPr>
                <w:rFonts w:ascii="Arial" w:hAnsi="Arial" w:cs="Arial"/>
                <w:color w:val="000000"/>
                <w:sz w:val="16"/>
                <w:szCs w:val="16"/>
              </w:rPr>
              <w:t>322.3379</w:t>
            </w:r>
          </w:p>
        </w:tc>
        <w:tc>
          <w:tcPr>
            <w:tcW w:w="873" w:type="dxa"/>
          </w:tcPr>
          <w:p w:rsidR="000D1209" w:rsidRPr="005B7509" w:rsidRDefault="000D1209" w:rsidP="000D1209">
            <w:pPr>
              <w:pStyle w:val="ListParagraph"/>
              <w:spacing w:line="240" w:lineRule="auto"/>
              <w:ind w:left="0"/>
              <w:jc w:val="both"/>
              <w:rPr>
                <w:rFonts w:ascii="Times New Roman" w:hAnsi="Times New Roman"/>
                <w:i/>
                <w:sz w:val="16"/>
                <w:szCs w:val="16"/>
                <w:lang w:val="en-US"/>
              </w:rPr>
            </w:pPr>
            <w:r w:rsidRPr="005B7509">
              <w:rPr>
                <w:rFonts w:ascii="Times New Roman" w:hAnsi="Times New Roman"/>
                <w:i/>
                <w:sz w:val="16"/>
                <w:szCs w:val="16"/>
              </w:rPr>
              <w:t xml:space="preserve">Random </w:t>
            </w:r>
          </w:p>
          <w:p w:rsidR="000D1209" w:rsidRPr="005B7509" w:rsidRDefault="000D1209" w:rsidP="000D1209">
            <w:pPr>
              <w:pStyle w:val="ListParagraph"/>
              <w:spacing w:line="240" w:lineRule="auto"/>
              <w:ind w:left="0"/>
              <w:jc w:val="both"/>
              <w:rPr>
                <w:rFonts w:ascii="Times New Roman" w:hAnsi="Times New Roman"/>
                <w:i/>
                <w:sz w:val="16"/>
                <w:szCs w:val="16"/>
              </w:rPr>
            </w:pPr>
            <w:r w:rsidRPr="005B7509">
              <w:rPr>
                <w:rFonts w:ascii="Times New Roman" w:hAnsi="Times New Roman"/>
                <w:i/>
                <w:sz w:val="16"/>
                <w:szCs w:val="16"/>
              </w:rPr>
              <w:t>Effect</w:t>
            </w:r>
          </w:p>
        </w:tc>
      </w:tr>
    </w:tbl>
    <w:p w:rsidR="003B64F8" w:rsidRDefault="003B64F8" w:rsidP="003B64F8">
      <w:pPr>
        <w:overflowPunct w:val="0"/>
        <w:autoSpaceDE w:val="0"/>
        <w:autoSpaceDN w:val="0"/>
        <w:adjustRightInd w:val="0"/>
        <w:ind w:firstLine="567"/>
        <w:rPr>
          <w:sz w:val="24"/>
          <w:szCs w:val="24"/>
        </w:rPr>
      </w:pPr>
    </w:p>
    <w:p w:rsidR="005B7509" w:rsidRPr="000D1209" w:rsidRDefault="005B7509" w:rsidP="000D1209">
      <w:pPr>
        <w:overflowPunct w:val="0"/>
        <w:autoSpaceDE w:val="0"/>
        <w:autoSpaceDN w:val="0"/>
        <w:adjustRightInd w:val="0"/>
        <w:spacing w:line="360" w:lineRule="auto"/>
        <w:ind w:firstLine="284"/>
        <w:rPr>
          <w:sz w:val="22"/>
          <w:szCs w:val="22"/>
        </w:rPr>
      </w:pPr>
      <w:r w:rsidRPr="000D1209">
        <w:rPr>
          <w:sz w:val="22"/>
          <w:szCs w:val="22"/>
        </w:rPr>
        <w:t xml:space="preserve">Nilai Prob yang lebih kecil dari 0.05 menunjukkan kondisi ditolaknya Ho. Dalam hal ini Ho nya adalah Model random lebih baik dibandingkan model Fixed Effect. Sehingga karena nilai prob nya = 0.0000, maka dengan tingkat keyakinan 95% dapat disimpulkan bahwa untuk data yang miliki model </w:t>
      </w:r>
      <w:r w:rsidRPr="000D1209">
        <w:rPr>
          <w:i/>
          <w:sz w:val="22"/>
          <w:szCs w:val="22"/>
        </w:rPr>
        <w:t>Random effect</w:t>
      </w:r>
      <w:r w:rsidRPr="000D1209">
        <w:rPr>
          <w:sz w:val="22"/>
          <w:szCs w:val="22"/>
        </w:rPr>
        <w:t xml:space="preserve"> lebih sesuai digunakan.</w:t>
      </w:r>
    </w:p>
    <w:p w:rsidR="005B7509" w:rsidRPr="00544365" w:rsidRDefault="005B7509" w:rsidP="005B7509">
      <w:pPr>
        <w:overflowPunct w:val="0"/>
        <w:autoSpaceDE w:val="0"/>
        <w:autoSpaceDN w:val="0"/>
        <w:adjustRightInd w:val="0"/>
        <w:spacing w:line="360" w:lineRule="auto"/>
        <w:ind w:firstLine="567"/>
        <w:rPr>
          <w:sz w:val="22"/>
          <w:szCs w:val="22"/>
        </w:rPr>
      </w:pPr>
    </w:p>
    <w:p w:rsidR="005B7509" w:rsidRPr="00544365" w:rsidRDefault="005B7509" w:rsidP="005B7509">
      <w:pPr>
        <w:spacing w:line="360" w:lineRule="auto"/>
        <w:ind w:firstLine="0"/>
        <w:rPr>
          <w:b/>
          <w:sz w:val="22"/>
          <w:szCs w:val="22"/>
        </w:rPr>
      </w:pPr>
      <w:r w:rsidRPr="00544365">
        <w:rPr>
          <w:b/>
          <w:sz w:val="22"/>
          <w:szCs w:val="22"/>
        </w:rPr>
        <w:t xml:space="preserve">Hasil Estimasi Model Penelitian </w:t>
      </w:r>
      <w:r w:rsidRPr="00544365">
        <w:rPr>
          <w:b/>
          <w:i/>
          <w:sz w:val="22"/>
          <w:szCs w:val="22"/>
        </w:rPr>
        <w:t>Random Effect</w:t>
      </w:r>
    </w:p>
    <w:p w:rsidR="005B7509" w:rsidRPr="000D1209" w:rsidRDefault="005B7509" w:rsidP="000D1209">
      <w:pPr>
        <w:pStyle w:val="ListParagraph"/>
        <w:spacing w:after="0" w:line="360" w:lineRule="auto"/>
        <w:ind w:left="0" w:firstLine="284"/>
        <w:jc w:val="both"/>
        <w:rPr>
          <w:rFonts w:ascii="Times New Roman" w:eastAsiaTheme="minorEastAsia" w:hAnsi="Times New Roman"/>
        </w:rPr>
      </w:pPr>
      <w:r w:rsidRPr="000D1209">
        <w:rPr>
          <w:rFonts w:ascii="Times New Roman" w:hAnsi="Times New Roman"/>
        </w:rPr>
        <w:t xml:space="preserve">Analisis dalam penelitian ini adalah analisis regresi linier dengan data </w:t>
      </w:r>
      <w:r w:rsidRPr="000D1209">
        <w:rPr>
          <w:rFonts w:ascii="Times New Roman" w:hAnsi="Times New Roman"/>
          <w:i/>
        </w:rPr>
        <w:t>pooling time series</w:t>
      </w:r>
      <w:r w:rsidRPr="000D1209">
        <w:rPr>
          <w:rFonts w:ascii="Times New Roman" w:hAnsi="Times New Roman"/>
        </w:rPr>
        <w:t xml:space="preserve">. Analisis ini digunakan untuk mengetahui pengaruh Jumlah Penduduk (JP) </w:t>
      </w:r>
      <m:oMath>
        <m:r>
          <w:rPr>
            <w:rFonts w:ascii="Cambria Math" w:hAnsi="Times New Roman"/>
          </w:rPr>
          <m:t>(</m:t>
        </m:r>
        <m:sSub>
          <m:sSubPr>
            <m:ctrlPr>
              <w:rPr>
                <w:rFonts w:ascii="Cambria Math" w:hAnsi="Times New Roman"/>
                <w:i/>
              </w:rPr>
            </m:ctrlPr>
          </m:sSubPr>
          <m:e>
            <m:r>
              <w:rPr>
                <w:rFonts w:ascii="Cambria Math" w:hAnsi="Cambria Math"/>
              </w:rPr>
              <m:t>X</m:t>
            </m:r>
          </m:e>
          <m:sub>
            <m:r>
              <w:rPr>
                <w:rFonts w:ascii="Cambria Math" w:hAnsi="Times New Roman"/>
              </w:rPr>
              <m:t>1</m:t>
            </m:r>
          </m:sub>
        </m:sSub>
        <m:r>
          <w:rPr>
            <w:rFonts w:ascii="Cambria Math" w:hAnsi="Times New Roman"/>
          </w:rPr>
          <m:t>)</m:t>
        </m:r>
      </m:oMath>
      <w:r w:rsidRPr="000D1209">
        <w:rPr>
          <w:rFonts w:ascii="Times New Roman" w:eastAsiaTheme="minorEastAsia" w:hAnsi="Times New Roman"/>
        </w:rPr>
        <w:t xml:space="preserve">, Tingkat Pengangguran Terbuka (TPT) </w:t>
      </w:r>
      <m:oMath>
        <m:r>
          <w:rPr>
            <w:rFonts w:ascii="Cambria Math" w:hAnsi="Times New Roman"/>
          </w:rPr>
          <m:t>(</m:t>
        </m:r>
        <m:sSub>
          <m:sSubPr>
            <m:ctrlPr>
              <w:rPr>
                <w:rFonts w:ascii="Cambria Math" w:hAnsi="Times New Roman"/>
                <w:i/>
              </w:rPr>
            </m:ctrlPr>
          </m:sSubPr>
          <m:e>
            <m:r>
              <w:rPr>
                <w:rFonts w:ascii="Cambria Math" w:hAnsi="Cambria Math"/>
              </w:rPr>
              <m:t>X</m:t>
            </m:r>
          </m:e>
          <m:sub>
            <m:r>
              <w:rPr>
                <w:rFonts w:ascii="Cambria Math" w:hAnsi="Times New Roman"/>
              </w:rPr>
              <m:t>2</m:t>
            </m:r>
          </m:sub>
        </m:sSub>
        <m:r>
          <w:rPr>
            <w:rFonts w:ascii="Cambria Math" w:hAnsi="Times New Roman"/>
          </w:rPr>
          <m:t>)</m:t>
        </m:r>
      </m:oMath>
      <w:r w:rsidRPr="000D1209">
        <w:rPr>
          <w:rFonts w:ascii="Times New Roman" w:eastAsiaTheme="minorEastAsia" w:hAnsi="Times New Roman"/>
        </w:rPr>
        <w:t xml:space="preserve">, dan Jumlah Industri (JI) </w:t>
      </w:r>
      <m:oMath>
        <m:d>
          <m:dPr>
            <m:ctrlPr>
              <w:rPr>
                <w:rFonts w:ascii="Cambria Math" w:hAnsi="Times New Roman"/>
                <w:i/>
              </w:rPr>
            </m:ctrlPr>
          </m:dPr>
          <m:e>
            <m:sSub>
              <m:sSubPr>
                <m:ctrlPr>
                  <w:rPr>
                    <w:rFonts w:ascii="Cambria Math" w:hAnsi="Times New Roman"/>
                    <w:i/>
                  </w:rPr>
                </m:ctrlPr>
              </m:sSubPr>
              <m:e>
                <m:r>
                  <w:rPr>
                    <w:rFonts w:ascii="Cambria Math" w:hAnsi="Cambria Math"/>
                  </w:rPr>
                  <m:t>X</m:t>
                </m:r>
              </m:e>
              <m:sub>
                <m:r>
                  <w:rPr>
                    <w:rFonts w:ascii="Cambria Math" w:hAnsi="Times New Roman"/>
                  </w:rPr>
                  <m:t>3</m:t>
                </m:r>
              </m:sub>
            </m:sSub>
          </m:e>
        </m:d>
      </m:oMath>
      <w:r w:rsidRPr="000D1209">
        <w:rPr>
          <w:rFonts w:ascii="Times New Roman" w:eastAsiaTheme="minorEastAsia" w:hAnsi="Times New Roman"/>
        </w:rPr>
        <w:t xml:space="preserve"> terhadap Produk Domestik Regional Bruto Kabupaten/Kota Sumatera Utara (Y). Berdasarkan hasil pengolahan data dengan menggunakan program statistik computer </w:t>
      </w:r>
      <w:r w:rsidRPr="000D1209">
        <w:rPr>
          <w:rFonts w:ascii="Times New Roman" w:eastAsiaTheme="minorEastAsia" w:hAnsi="Times New Roman"/>
          <w:i/>
        </w:rPr>
        <w:t xml:space="preserve">Eviews </w:t>
      </w:r>
      <w:r w:rsidRPr="000D1209">
        <w:rPr>
          <w:rFonts w:ascii="Times New Roman" w:eastAsiaTheme="minorEastAsia" w:hAnsi="Times New Roman"/>
        </w:rPr>
        <w:t>9.0 diperoleh hasil sebagai berikut:</w:t>
      </w:r>
    </w:p>
    <w:p w:rsidR="005B7509" w:rsidRPr="003B64F8" w:rsidRDefault="005B7509" w:rsidP="005B7509">
      <w:pPr>
        <w:pStyle w:val="ListParagraph"/>
        <w:spacing w:after="0" w:line="240" w:lineRule="auto"/>
        <w:ind w:left="360"/>
        <w:jc w:val="center"/>
        <w:rPr>
          <w:rFonts w:ascii="Times New Roman" w:eastAsiaTheme="minorEastAsia" w:hAnsi="Times New Roman"/>
          <w:b/>
          <w:sz w:val="18"/>
          <w:szCs w:val="18"/>
        </w:rPr>
      </w:pPr>
      <w:r w:rsidRPr="003B64F8">
        <w:rPr>
          <w:rFonts w:ascii="Times New Roman" w:eastAsiaTheme="minorEastAsia" w:hAnsi="Times New Roman"/>
          <w:b/>
          <w:sz w:val="18"/>
          <w:szCs w:val="18"/>
        </w:rPr>
        <w:t xml:space="preserve">Tabel 2 Hasil Estimasi Model </w:t>
      </w:r>
      <w:r w:rsidRPr="003B64F8">
        <w:rPr>
          <w:rFonts w:ascii="Times New Roman" w:eastAsiaTheme="minorEastAsia" w:hAnsi="Times New Roman"/>
          <w:b/>
          <w:i/>
          <w:sz w:val="18"/>
          <w:szCs w:val="18"/>
        </w:rPr>
        <w:t xml:space="preserve">Random Effect </w:t>
      </w:r>
      <w:r w:rsidRPr="003B64F8">
        <w:rPr>
          <w:rFonts w:ascii="Times New Roman" w:eastAsiaTheme="minorEastAsia" w:hAnsi="Times New Roman"/>
          <w:b/>
          <w:sz w:val="18"/>
          <w:szCs w:val="18"/>
        </w:rPr>
        <w:t>Metode GLS</w:t>
      </w:r>
    </w:p>
    <w:tbl>
      <w:tblPr>
        <w:tblStyle w:val="TableGrid"/>
        <w:tblW w:w="4493" w:type="dxa"/>
        <w:jc w:val="center"/>
        <w:tblInd w:w="360" w:type="dxa"/>
        <w:tblLook w:val="04A0"/>
      </w:tblPr>
      <w:tblGrid>
        <w:gridCol w:w="626"/>
        <w:gridCol w:w="962"/>
        <w:gridCol w:w="892"/>
        <w:gridCol w:w="934"/>
        <w:gridCol w:w="1079"/>
      </w:tblGrid>
      <w:tr w:rsidR="003B64F8" w:rsidTr="003B64F8">
        <w:trPr>
          <w:jc w:val="center"/>
        </w:trPr>
        <w:tc>
          <w:tcPr>
            <w:tcW w:w="626" w:type="dxa"/>
          </w:tcPr>
          <w:p w:rsidR="005B7509" w:rsidRPr="005B7509" w:rsidRDefault="005B7509" w:rsidP="003B64F8">
            <w:pPr>
              <w:pStyle w:val="ListParagraph"/>
              <w:spacing w:line="240" w:lineRule="auto"/>
              <w:ind w:left="0"/>
              <w:jc w:val="center"/>
              <w:rPr>
                <w:rFonts w:asciiTheme="minorHAnsi" w:eastAsiaTheme="minorEastAsia" w:hAnsiTheme="minorHAnsi" w:cstheme="minorHAnsi"/>
                <w:b/>
                <w:sz w:val="16"/>
                <w:szCs w:val="16"/>
              </w:rPr>
            </w:pPr>
          </w:p>
        </w:tc>
        <w:tc>
          <w:tcPr>
            <w:tcW w:w="962" w:type="dxa"/>
          </w:tcPr>
          <w:p w:rsidR="005B7509" w:rsidRDefault="005B7509" w:rsidP="003B64F8">
            <w:pPr>
              <w:pStyle w:val="ListParagraph"/>
              <w:spacing w:line="240" w:lineRule="auto"/>
              <w:ind w:left="0"/>
              <w:jc w:val="center"/>
              <w:rPr>
                <w:rFonts w:asciiTheme="minorHAnsi" w:eastAsiaTheme="minorEastAsia" w:hAnsiTheme="minorHAnsi" w:cstheme="minorHAnsi"/>
                <w:b/>
                <w:sz w:val="16"/>
                <w:szCs w:val="16"/>
                <w:lang w:val="en-US"/>
              </w:rPr>
            </w:pPr>
            <w:r w:rsidRPr="005B7509">
              <w:rPr>
                <w:rFonts w:asciiTheme="minorHAnsi" w:eastAsiaTheme="minorEastAsia" w:hAnsiTheme="minorHAnsi" w:cstheme="minorHAnsi"/>
                <w:b/>
                <w:sz w:val="16"/>
                <w:szCs w:val="16"/>
              </w:rPr>
              <w:t xml:space="preserve">Koefisien </w:t>
            </w:r>
          </w:p>
          <w:p w:rsidR="005B7509" w:rsidRPr="005B7509" w:rsidRDefault="005B7509" w:rsidP="003B64F8">
            <w:pPr>
              <w:pStyle w:val="ListParagraph"/>
              <w:spacing w:line="240" w:lineRule="auto"/>
              <w:ind w:left="0"/>
              <w:jc w:val="center"/>
              <w:rPr>
                <w:rFonts w:asciiTheme="minorHAnsi" w:eastAsiaTheme="minorEastAsia" w:hAnsiTheme="minorHAnsi" w:cstheme="minorHAnsi"/>
                <w:b/>
                <w:sz w:val="16"/>
                <w:szCs w:val="16"/>
              </w:rPr>
            </w:pPr>
            <w:r w:rsidRPr="005B7509">
              <w:rPr>
                <w:rFonts w:asciiTheme="minorHAnsi" w:eastAsiaTheme="minorEastAsia" w:hAnsiTheme="minorHAnsi" w:cstheme="minorHAnsi"/>
                <w:b/>
                <w:sz w:val="16"/>
                <w:szCs w:val="16"/>
              </w:rPr>
              <w:t>Regresi</w:t>
            </w:r>
          </w:p>
        </w:tc>
        <w:tc>
          <w:tcPr>
            <w:tcW w:w="892" w:type="dxa"/>
          </w:tcPr>
          <w:p w:rsidR="005B7509" w:rsidRDefault="005B7509" w:rsidP="003B64F8">
            <w:pPr>
              <w:pStyle w:val="ListParagraph"/>
              <w:spacing w:line="240" w:lineRule="auto"/>
              <w:ind w:left="0"/>
              <w:jc w:val="center"/>
              <w:rPr>
                <w:rFonts w:asciiTheme="minorHAnsi" w:eastAsiaTheme="minorEastAsia" w:hAnsiTheme="minorHAnsi" w:cstheme="minorHAnsi"/>
                <w:b/>
                <w:sz w:val="16"/>
                <w:szCs w:val="16"/>
                <w:lang w:val="en-US"/>
              </w:rPr>
            </w:pPr>
            <w:r w:rsidRPr="005B7509">
              <w:rPr>
                <w:rFonts w:asciiTheme="minorHAnsi" w:eastAsiaTheme="minorEastAsia" w:hAnsiTheme="minorHAnsi" w:cstheme="minorHAnsi"/>
                <w:b/>
                <w:sz w:val="16"/>
                <w:szCs w:val="16"/>
              </w:rPr>
              <w:t>Standart</w:t>
            </w:r>
          </w:p>
          <w:p w:rsidR="005B7509" w:rsidRPr="005B7509" w:rsidRDefault="005B7509" w:rsidP="003B64F8">
            <w:pPr>
              <w:pStyle w:val="ListParagraph"/>
              <w:spacing w:line="240" w:lineRule="auto"/>
              <w:ind w:left="0"/>
              <w:jc w:val="center"/>
              <w:rPr>
                <w:rFonts w:asciiTheme="minorHAnsi" w:eastAsiaTheme="minorEastAsia" w:hAnsiTheme="minorHAnsi" w:cstheme="minorHAnsi"/>
                <w:b/>
                <w:sz w:val="16"/>
                <w:szCs w:val="16"/>
              </w:rPr>
            </w:pPr>
            <w:r w:rsidRPr="005B7509">
              <w:rPr>
                <w:rFonts w:asciiTheme="minorHAnsi" w:eastAsiaTheme="minorEastAsia" w:hAnsiTheme="minorHAnsi" w:cstheme="minorHAnsi"/>
                <w:b/>
                <w:sz w:val="16"/>
                <w:szCs w:val="16"/>
              </w:rPr>
              <w:t>Error</w:t>
            </w:r>
          </w:p>
        </w:tc>
        <w:tc>
          <w:tcPr>
            <w:tcW w:w="934" w:type="dxa"/>
          </w:tcPr>
          <w:p w:rsidR="005B7509" w:rsidRPr="005B7509" w:rsidRDefault="005B7509" w:rsidP="003B64F8">
            <w:pPr>
              <w:pStyle w:val="ListParagraph"/>
              <w:spacing w:line="240" w:lineRule="auto"/>
              <w:ind w:left="0"/>
              <w:jc w:val="center"/>
              <w:rPr>
                <w:rFonts w:asciiTheme="minorHAnsi" w:eastAsiaTheme="minorEastAsia" w:hAnsiTheme="minorHAnsi" w:cstheme="minorHAnsi"/>
                <w:b/>
                <w:sz w:val="16"/>
                <w:szCs w:val="16"/>
              </w:rPr>
            </w:pPr>
            <w:r w:rsidRPr="005B7509">
              <w:rPr>
                <w:rFonts w:asciiTheme="minorHAnsi" w:eastAsiaTheme="minorEastAsia" w:hAnsiTheme="minorHAnsi" w:cstheme="minorHAnsi"/>
                <w:b/>
                <w:sz w:val="16"/>
                <w:szCs w:val="16"/>
              </w:rPr>
              <w:t>t-statistik</w:t>
            </w:r>
          </w:p>
        </w:tc>
        <w:tc>
          <w:tcPr>
            <w:tcW w:w="1079" w:type="dxa"/>
          </w:tcPr>
          <w:p w:rsidR="005B7509" w:rsidRPr="005B7509" w:rsidRDefault="005B7509" w:rsidP="003B64F8">
            <w:pPr>
              <w:pStyle w:val="ListParagraph"/>
              <w:spacing w:line="240" w:lineRule="auto"/>
              <w:ind w:left="0"/>
              <w:jc w:val="center"/>
              <w:rPr>
                <w:rFonts w:asciiTheme="minorHAnsi" w:eastAsiaTheme="minorEastAsia" w:hAnsiTheme="minorHAnsi" w:cstheme="minorHAnsi"/>
                <w:b/>
                <w:sz w:val="16"/>
                <w:szCs w:val="16"/>
              </w:rPr>
            </w:pPr>
            <w:r w:rsidRPr="005B7509">
              <w:rPr>
                <w:rFonts w:asciiTheme="minorHAnsi" w:eastAsiaTheme="minorEastAsia" w:hAnsiTheme="minorHAnsi" w:cstheme="minorHAnsi"/>
                <w:b/>
                <w:sz w:val="16"/>
                <w:szCs w:val="16"/>
              </w:rPr>
              <w:t>Probabilitas</w:t>
            </w:r>
          </w:p>
        </w:tc>
      </w:tr>
      <w:tr w:rsidR="003B64F8" w:rsidTr="003B64F8">
        <w:trPr>
          <w:jc w:val="center"/>
        </w:trPr>
        <w:tc>
          <w:tcPr>
            <w:tcW w:w="626" w:type="dxa"/>
          </w:tcPr>
          <w:p w:rsidR="005B7509" w:rsidRPr="003B64F8" w:rsidRDefault="003B64F8" w:rsidP="003B64F8">
            <w:pPr>
              <w:pStyle w:val="ListParagraph"/>
              <w:spacing w:line="240" w:lineRule="auto"/>
              <w:ind w:left="0"/>
              <w:jc w:val="both"/>
              <w:rPr>
                <w:rFonts w:asciiTheme="minorHAnsi" w:eastAsiaTheme="minorEastAsia" w:hAnsiTheme="minorHAnsi" w:cstheme="minorHAnsi"/>
                <w:sz w:val="16"/>
                <w:szCs w:val="16"/>
                <w:lang w:val="en-US"/>
              </w:rPr>
            </w:pPr>
            <w:r>
              <w:rPr>
                <w:rFonts w:asciiTheme="minorHAnsi" w:eastAsiaTheme="minorEastAsia" w:hAnsiTheme="minorHAnsi" w:cstheme="minorHAnsi"/>
                <w:sz w:val="16"/>
                <w:szCs w:val="16"/>
                <w:lang w:val="en-US"/>
              </w:rPr>
              <w:t>C</w:t>
            </w:r>
          </w:p>
        </w:tc>
        <w:tc>
          <w:tcPr>
            <w:tcW w:w="96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7.605045</w:t>
            </w:r>
          </w:p>
        </w:tc>
        <w:tc>
          <w:tcPr>
            <w:tcW w:w="89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0.000707</w:t>
            </w:r>
          </w:p>
        </w:tc>
        <w:tc>
          <w:tcPr>
            <w:tcW w:w="934"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10755.28</w:t>
            </w:r>
          </w:p>
        </w:tc>
        <w:tc>
          <w:tcPr>
            <w:tcW w:w="1079"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0.0000</w:t>
            </w:r>
          </w:p>
        </w:tc>
      </w:tr>
      <w:tr w:rsidR="003B64F8" w:rsidTr="003B64F8">
        <w:trPr>
          <w:jc w:val="center"/>
        </w:trPr>
        <w:tc>
          <w:tcPr>
            <w:tcW w:w="626" w:type="dxa"/>
          </w:tcPr>
          <w:p w:rsidR="003B64F8" w:rsidRDefault="005B7509" w:rsidP="003B64F8">
            <w:pPr>
              <w:pStyle w:val="ListParagraph"/>
              <w:spacing w:line="240" w:lineRule="auto"/>
              <w:ind w:left="0"/>
              <w:jc w:val="both"/>
              <w:rPr>
                <w:rFonts w:asciiTheme="minorHAnsi" w:hAnsiTheme="minorHAnsi" w:cstheme="minorHAnsi"/>
                <w:color w:val="000000"/>
                <w:sz w:val="16"/>
                <w:szCs w:val="16"/>
                <w:lang w:val="en-US"/>
              </w:rPr>
            </w:pPr>
            <w:r w:rsidRPr="005B7509">
              <w:rPr>
                <w:rFonts w:asciiTheme="minorHAnsi" w:hAnsiTheme="minorHAnsi" w:cstheme="minorHAnsi"/>
                <w:color w:val="000000"/>
                <w:sz w:val="16"/>
                <w:szCs w:val="16"/>
              </w:rPr>
              <w:t>LOG</w:t>
            </w:r>
          </w:p>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(JP?)</w:t>
            </w:r>
          </w:p>
        </w:tc>
        <w:tc>
          <w:tcPr>
            <w:tcW w:w="96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0.000279</w:t>
            </w:r>
          </w:p>
        </w:tc>
        <w:tc>
          <w:tcPr>
            <w:tcW w:w="89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7.12E-05</w:t>
            </w:r>
          </w:p>
        </w:tc>
        <w:tc>
          <w:tcPr>
            <w:tcW w:w="934"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3.918094</w:t>
            </w:r>
          </w:p>
        </w:tc>
        <w:tc>
          <w:tcPr>
            <w:tcW w:w="1079"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0.0001</w:t>
            </w:r>
          </w:p>
        </w:tc>
      </w:tr>
      <w:tr w:rsidR="003B64F8" w:rsidTr="003B64F8">
        <w:trPr>
          <w:jc w:val="center"/>
        </w:trPr>
        <w:tc>
          <w:tcPr>
            <w:tcW w:w="626" w:type="dxa"/>
          </w:tcPr>
          <w:p w:rsidR="003B64F8" w:rsidRDefault="005B7509" w:rsidP="003B64F8">
            <w:pPr>
              <w:pStyle w:val="ListParagraph"/>
              <w:spacing w:line="240" w:lineRule="auto"/>
              <w:ind w:left="0"/>
              <w:jc w:val="both"/>
              <w:rPr>
                <w:rFonts w:asciiTheme="minorHAnsi" w:hAnsiTheme="minorHAnsi" w:cstheme="minorHAnsi"/>
                <w:color w:val="000000"/>
                <w:sz w:val="16"/>
                <w:szCs w:val="16"/>
                <w:lang w:val="en-US"/>
              </w:rPr>
            </w:pPr>
            <w:r w:rsidRPr="005B7509">
              <w:rPr>
                <w:rFonts w:asciiTheme="minorHAnsi" w:hAnsiTheme="minorHAnsi" w:cstheme="minorHAnsi"/>
                <w:color w:val="000000"/>
                <w:sz w:val="16"/>
                <w:szCs w:val="16"/>
              </w:rPr>
              <w:t>LOG</w:t>
            </w:r>
          </w:p>
          <w:p w:rsidR="005B7509" w:rsidRPr="003B64F8" w:rsidRDefault="005B7509" w:rsidP="003B64F8">
            <w:pPr>
              <w:pStyle w:val="ListParagraph"/>
              <w:spacing w:line="240" w:lineRule="auto"/>
              <w:ind w:left="0"/>
              <w:jc w:val="both"/>
              <w:rPr>
                <w:rFonts w:asciiTheme="minorHAnsi" w:hAnsiTheme="minorHAnsi" w:cstheme="minorHAnsi"/>
                <w:color w:val="000000"/>
                <w:sz w:val="16"/>
                <w:szCs w:val="16"/>
                <w:lang w:val="en-US"/>
              </w:rPr>
            </w:pPr>
            <w:r w:rsidRPr="005B7509">
              <w:rPr>
                <w:rFonts w:asciiTheme="minorHAnsi" w:hAnsiTheme="minorHAnsi" w:cstheme="minorHAnsi"/>
                <w:color w:val="000000"/>
                <w:sz w:val="16"/>
                <w:szCs w:val="16"/>
              </w:rPr>
              <w:t>(TPT?)</w:t>
            </w:r>
          </w:p>
        </w:tc>
        <w:tc>
          <w:tcPr>
            <w:tcW w:w="96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-2.51E-05</w:t>
            </w:r>
          </w:p>
        </w:tc>
        <w:tc>
          <w:tcPr>
            <w:tcW w:w="89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4.31E-05</w:t>
            </w:r>
          </w:p>
        </w:tc>
        <w:tc>
          <w:tcPr>
            <w:tcW w:w="934"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-0.582953</w:t>
            </w:r>
          </w:p>
        </w:tc>
        <w:tc>
          <w:tcPr>
            <w:tcW w:w="1079"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0.5607</w:t>
            </w:r>
          </w:p>
        </w:tc>
      </w:tr>
      <w:tr w:rsidR="003B64F8" w:rsidTr="003B64F8">
        <w:trPr>
          <w:jc w:val="center"/>
        </w:trPr>
        <w:tc>
          <w:tcPr>
            <w:tcW w:w="626" w:type="dxa"/>
          </w:tcPr>
          <w:p w:rsidR="003B64F8" w:rsidRDefault="005B7509" w:rsidP="003B64F8">
            <w:pPr>
              <w:pStyle w:val="ListParagraph"/>
              <w:spacing w:line="240" w:lineRule="auto"/>
              <w:ind w:left="0"/>
              <w:jc w:val="both"/>
              <w:rPr>
                <w:rFonts w:asciiTheme="minorHAnsi" w:hAnsiTheme="minorHAnsi" w:cstheme="minorHAnsi"/>
                <w:color w:val="000000"/>
                <w:sz w:val="16"/>
                <w:szCs w:val="16"/>
                <w:lang w:val="en-US"/>
              </w:rPr>
            </w:pPr>
            <w:r w:rsidRPr="005B7509">
              <w:rPr>
                <w:rFonts w:asciiTheme="minorHAnsi" w:hAnsiTheme="minorHAnsi" w:cstheme="minorHAnsi"/>
                <w:color w:val="000000"/>
                <w:sz w:val="16"/>
                <w:szCs w:val="16"/>
              </w:rPr>
              <w:t>LOG</w:t>
            </w:r>
          </w:p>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(JI?)</w:t>
            </w:r>
          </w:p>
        </w:tc>
        <w:tc>
          <w:tcPr>
            <w:tcW w:w="96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-9.82E-05</w:t>
            </w:r>
          </w:p>
        </w:tc>
        <w:tc>
          <w:tcPr>
            <w:tcW w:w="892"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4.29E-05</w:t>
            </w:r>
          </w:p>
        </w:tc>
        <w:tc>
          <w:tcPr>
            <w:tcW w:w="934"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-2.287323</w:t>
            </w:r>
          </w:p>
        </w:tc>
        <w:tc>
          <w:tcPr>
            <w:tcW w:w="1079" w:type="dxa"/>
          </w:tcPr>
          <w:p w:rsidR="005B7509" w:rsidRPr="005B7509" w:rsidRDefault="005B7509" w:rsidP="003B64F8">
            <w:pPr>
              <w:pStyle w:val="ListParagraph"/>
              <w:spacing w:line="240" w:lineRule="auto"/>
              <w:ind w:left="0"/>
              <w:jc w:val="both"/>
              <w:rPr>
                <w:rFonts w:asciiTheme="minorHAnsi" w:eastAsiaTheme="minorEastAsia" w:hAnsiTheme="minorHAnsi" w:cstheme="minorHAnsi"/>
                <w:sz w:val="16"/>
                <w:szCs w:val="16"/>
              </w:rPr>
            </w:pPr>
            <w:r w:rsidRPr="005B7509">
              <w:rPr>
                <w:rFonts w:asciiTheme="minorHAnsi" w:hAnsiTheme="minorHAnsi" w:cstheme="minorHAnsi"/>
                <w:color w:val="000000"/>
                <w:sz w:val="16"/>
                <w:szCs w:val="16"/>
              </w:rPr>
              <w:t>0.0235</w:t>
            </w:r>
          </w:p>
        </w:tc>
      </w:tr>
      <w:tr w:rsidR="005B7509" w:rsidTr="003B64F8">
        <w:trPr>
          <w:jc w:val="center"/>
        </w:trPr>
        <w:tc>
          <w:tcPr>
            <w:tcW w:w="4493" w:type="dxa"/>
            <w:gridSpan w:val="5"/>
          </w:tcPr>
          <w:p w:rsidR="005B7509" w:rsidRPr="005B7509" w:rsidRDefault="005B7509" w:rsidP="003B64F8">
            <w:pPr>
              <w:pStyle w:val="ListParagraph"/>
              <w:spacing w:line="240" w:lineRule="auto"/>
              <w:ind w:left="0"/>
              <w:rPr>
                <w:rFonts w:asciiTheme="minorHAnsi" w:eastAsiaTheme="minorEastAsia" w:hAnsiTheme="minorHAnsi" w:cstheme="minorHAnsi"/>
                <w:sz w:val="16"/>
                <w:szCs w:val="16"/>
              </w:rPr>
            </w:pPr>
            <m:oMath>
              <m:sSup>
                <m:sSupPr>
                  <m:ctrlPr>
                    <w:rPr>
                      <w:rFonts w:ascii="Cambria Math" w:eastAsiaTheme="minorEastAsia" w:hAnsiTheme="minorHAnsi" w:cstheme="minorHAnsi"/>
                      <w:i/>
                      <w:sz w:val="16"/>
                      <w:szCs w:val="16"/>
                    </w:rPr>
                  </m:ctrlPr>
                </m:sSupPr>
                <m:e>
                  <m:r>
                    <w:rPr>
                      <w:rFonts w:ascii="Cambria Math" w:eastAsiaTheme="minorEastAsia" w:hAnsi="Cambria Math" w:cstheme="minorHAnsi"/>
                      <w:sz w:val="16"/>
                      <w:szCs w:val="16"/>
                    </w:rPr>
                    <m:t>R</m:t>
                  </m:r>
                </m:e>
                <m:sup>
                  <m:r>
                    <w:rPr>
                      <w:rFonts w:ascii="Cambria Math" w:eastAsiaTheme="minorEastAsia" w:hAnsiTheme="minorHAnsi" w:cstheme="minorHAnsi"/>
                      <w:sz w:val="16"/>
                      <w:szCs w:val="16"/>
                    </w:rPr>
                    <m:t>2</m:t>
                  </m:r>
                </m:sup>
              </m:sSup>
            </m:oMath>
            <w:r w:rsidRPr="005B7509">
              <w:rPr>
                <w:rFonts w:asciiTheme="minorHAnsi" w:eastAsiaTheme="minorEastAsia" w:hAnsiTheme="minorHAnsi" w:cstheme="minorHAnsi"/>
                <w:sz w:val="16"/>
                <w:szCs w:val="16"/>
              </w:rPr>
              <w:t xml:space="preserve"> : </w:t>
            </w:r>
            <w:r w:rsidRPr="005B7509">
              <w:rPr>
                <w:rFonts w:asciiTheme="minorHAnsi" w:hAnsiTheme="minorHAnsi" w:cstheme="minorHAnsi"/>
                <w:color w:val="000000"/>
                <w:sz w:val="16"/>
                <w:szCs w:val="16"/>
              </w:rPr>
              <w:t>0.724592</w:t>
            </w:r>
          </w:p>
        </w:tc>
      </w:tr>
      <w:tr w:rsidR="005B7509" w:rsidTr="003B64F8">
        <w:trPr>
          <w:jc w:val="center"/>
        </w:trPr>
        <w:tc>
          <w:tcPr>
            <w:tcW w:w="4493" w:type="dxa"/>
            <w:gridSpan w:val="5"/>
          </w:tcPr>
          <w:p w:rsidR="005B7509" w:rsidRPr="005B7509" w:rsidRDefault="005B7509" w:rsidP="003B64F8">
            <w:pPr>
              <w:pStyle w:val="ListParagraph"/>
              <w:spacing w:line="240" w:lineRule="auto"/>
              <w:ind w:left="0"/>
              <w:rPr>
                <w:rFonts w:asciiTheme="minorHAnsi" w:eastAsiaTheme="minorEastAsia" w:hAnsiTheme="minorHAnsi" w:cstheme="minorHAnsi"/>
                <w:sz w:val="16"/>
                <w:szCs w:val="16"/>
              </w:rPr>
            </w:pPr>
            <w:r w:rsidRPr="005B7509">
              <w:rPr>
                <w:rFonts w:asciiTheme="minorHAnsi" w:eastAsiaTheme="minorEastAsia" w:hAnsiTheme="minorHAnsi" w:cstheme="minorHAnsi"/>
                <w:sz w:val="16"/>
                <w:szCs w:val="16"/>
              </w:rPr>
              <w:t xml:space="preserve">Adjusted </w:t>
            </w:r>
            <m:oMath>
              <m:sSup>
                <m:sSupPr>
                  <m:ctrlPr>
                    <w:rPr>
                      <w:rFonts w:ascii="Cambria Math" w:eastAsiaTheme="minorEastAsia" w:hAnsiTheme="minorHAnsi" w:cstheme="minorHAnsi"/>
                      <w:i/>
                      <w:sz w:val="16"/>
                      <w:szCs w:val="16"/>
                    </w:rPr>
                  </m:ctrlPr>
                </m:sSupPr>
                <m:e>
                  <m:r>
                    <w:rPr>
                      <w:rFonts w:ascii="Cambria Math" w:eastAsiaTheme="minorEastAsia" w:hAnsi="Cambria Math" w:cstheme="minorHAnsi"/>
                      <w:sz w:val="16"/>
                      <w:szCs w:val="16"/>
                    </w:rPr>
                    <m:t>R</m:t>
                  </m:r>
                </m:e>
                <m:sup>
                  <m:r>
                    <w:rPr>
                      <w:rFonts w:ascii="Cambria Math" w:eastAsiaTheme="minorEastAsia" w:hAnsiTheme="minorHAnsi" w:cstheme="minorHAnsi"/>
                      <w:sz w:val="16"/>
                      <w:szCs w:val="16"/>
                    </w:rPr>
                    <m:t>2</m:t>
                  </m:r>
                </m:sup>
              </m:sSup>
            </m:oMath>
            <w:r w:rsidRPr="005B7509">
              <w:rPr>
                <w:rFonts w:asciiTheme="minorHAnsi" w:eastAsiaTheme="minorEastAsia" w:hAnsiTheme="minorHAnsi" w:cstheme="minorHAnsi"/>
                <w:sz w:val="16"/>
                <w:szCs w:val="16"/>
              </w:rPr>
              <w:t xml:space="preserve"> : </w:t>
            </w:r>
            <w:r w:rsidRPr="005B7509">
              <w:rPr>
                <w:rFonts w:asciiTheme="minorHAnsi" w:hAnsiTheme="minorHAnsi" w:cstheme="minorHAnsi"/>
                <w:color w:val="000000"/>
                <w:sz w:val="16"/>
                <w:szCs w:val="16"/>
              </w:rPr>
              <w:t>0.649868</w:t>
            </w:r>
          </w:p>
        </w:tc>
      </w:tr>
      <w:tr w:rsidR="005B7509" w:rsidTr="003B64F8">
        <w:trPr>
          <w:jc w:val="center"/>
        </w:trPr>
        <w:tc>
          <w:tcPr>
            <w:tcW w:w="4493" w:type="dxa"/>
            <w:gridSpan w:val="5"/>
          </w:tcPr>
          <w:p w:rsidR="005B7509" w:rsidRPr="005B7509" w:rsidRDefault="005B7509" w:rsidP="003B64F8">
            <w:pPr>
              <w:pStyle w:val="ListParagraph"/>
              <w:spacing w:line="240" w:lineRule="auto"/>
              <w:ind w:left="0"/>
              <w:rPr>
                <w:rFonts w:asciiTheme="minorHAnsi" w:eastAsiaTheme="minorEastAsia" w:hAnsiTheme="minorHAnsi" w:cstheme="minorHAnsi"/>
                <w:sz w:val="16"/>
                <w:szCs w:val="16"/>
              </w:rPr>
            </w:pPr>
            <w:r w:rsidRPr="005B7509">
              <w:rPr>
                <w:rFonts w:asciiTheme="minorHAnsi" w:eastAsiaTheme="minorEastAsia" w:hAnsiTheme="minorHAnsi" w:cstheme="minorHAnsi"/>
                <w:sz w:val="16"/>
                <w:szCs w:val="16"/>
              </w:rPr>
              <w:lastRenderedPageBreak/>
              <w:t xml:space="preserve">DW –test : </w:t>
            </w:r>
            <w:r w:rsidRPr="005B7509">
              <w:rPr>
                <w:rFonts w:asciiTheme="minorHAnsi" w:hAnsiTheme="minorHAnsi" w:cstheme="minorHAnsi"/>
                <w:color w:val="000000"/>
                <w:sz w:val="16"/>
                <w:szCs w:val="16"/>
              </w:rPr>
              <w:t>0.481337</w:t>
            </w:r>
          </w:p>
        </w:tc>
      </w:tr>
      <w:tr w:rsidR="005B7509" w:rsidTr="003B64F8">
        <w:trPr>
          <w:jc w:val="center"/>
        </w:trPr>
        <w:tc>
          <w:tcPr>
            <w:tcW w:w="4493" w:type="dxa"/>
            <w:gridSpan w:val="5"/>
          </w:tcPr>
          <w:p w:rsidR="005B7509" w:rsidRPr="005B7509" w:rsidRDefault="005B7509" w:rsidP="003B64F8">
            <w:pPr>
              <w:pStyle w:val="ListParagraph"/>
              <w:spacing w:line="240" w:lineRule="auto"/>
              <w:ind w:left="0"/>
              <w:rPr>
                <w:rFonts w:asciiTheme="minorHAnsi" w:eastAsiaTheme="minorEastAsia" w:hAnsiTheme="minorHAnsi" w:cstheme="minorHAnsi"/>
                <w:sz w:val="16"/>
                <w:szCs w:val="16"/>
              </w:rPr>
            </w:pPr>
            <w:r w:rsidRPr="005B7509">
              <w:rPr>
                <w:rFonts w:asciiTheme="minorHAnsi" w:eastAsiaTheme="minorEastAsia" w:hAnsiTheme="minorHAnsi" w:cstheme="minorHAnsi"/>
                <w:sz w:val="16"/>
                <w:szCs w:val="16"/>
              </w:rPr>
              <w:t>N : 0.000001</w:t>
            </w:r>
          </w:p>
        </w:tc>
      </w:tr>
    </w:tbl>
    <w:p w:rsidR="005B7509" w:rsidRDefault="005B7509" w:rsidP="003B64F8">
      <w:pPr>
        <w:ind w:firstLine="0"/>
        <w:rPr>
          <w:rFonts w:eastAsiaTheme="minorEastAsia"/>
        </w:rPr>
      </w:pPr>
      <w:r w:rsidRPr="00482B1F">
        <w:rPr>
          <w:rFonts w:eastAsiaTheme="minorEastAsia"/>
        </w:rPr>
        <w:t xml:space="preserve">Sumber : Lampiran Hasil Olahan Data Model </w:t>
      </w:r>
      <w:r w:rsidRPr="00482B1F">
        <w:rPr>
          <w:rFonts w:eastAsiaTheme="minorEastAsia"/>
          <w:i/>
        </w:rPr>
        <w:t xml:space="preserve">Random Effect, </w:t>
      </w:r>
      <w:r w:rsidRPr="00482B1F">
        <w:rPr>
          <w:rFonts w:eastAsiaTheme="minorEastAsia"/>
        </w:rPr>
        <w:t>2019.</w:t>
      </w:r>
    </w:p>
    <w:p w:rsidR="003B64F8" w:rsidRPr="000D1209" w:rsidRDefault="003B64F8" w:rsidP="005B7509">
      <w:pPr>
        <w:pStyle w:val="ListParagraph"/>
        <w:spacing w:after="0" w:line="360" w:lineRule="auto"/>
        <w:ind w:left="0" w:firstLine="567"/>
        <w:jc w:val="both"/>
        <w:rPr>
          <w:rFonts w:ascii="Times New Roman" w:hAnsi="Times New Roman"/>
          <w:sz w:val="24"/>
          <w:szCs w:val="24"/>
          <w:lang w:val="en-US"/>
        </w:rPr>
      </w:pPr>
    </w:p>
    <w:p w:rsidR="005B7509" w:rsidRPr="000D1209" w:rsidRDefault="005B7509" w:rsidP="000D1209">
      <w:pPr>
        <w:pStyle w:val="ListParagraph"/>
        <w:spacing w:after="0" w:line="360" w:lineRule="auto"/>
        <w:ind w:left="0" w:firstLine="284"/>
        <w:jc w:val="both"/>
        <w:rPr>
          <w:rFonts w:ascii="Times New Roman" w:hAnsi="Times New Roman"/>
        </w:rPr>
      </w:pPr>
      <w:r w:rsidRPr="000D1209">
        <w:rPr>
          <w:rFonts w:ascii="Times New Roman" w:hAnsi="Times New Roman"/>
        </w:rPr>
        <w:t>Secara matematis hasil dari regresi linier berganda dapat ditulis pada estimasi persamaan sebagai berikut:</w:t>
      </w:r>
    </w:p>
    <w:p w:rsidR="005B7509" w:rsidRPr="000D1209" w:rsidRDefault="005B7509" w:rsidP="003B64F8">
      <w:pPr>
        <w:spacing w:line="480" w:lineRule="auto"/>
        <w:jc w:val="left"/>
        <w:rPr>
          <w:rFonts w:eastAsiaTheme="minorEastAsia"/>
          <w:sz w:val="16"/>
          <w:szCs w:val="16"/>
        </w:rPr>
      </w:pPr>
      <m:oMath>
        <m:sSub>
          <m:sSubPr>
            <m:ctrlPr>
              <w:rPr>
                <w:rFonts w:ascii="Cambria Math"/>
                <w:i/>
                <w:sz w:val="16"/>
                <w:szCs w:val="16"/>
              </w:rPr>
            </m:ctrlPr>
          </m:sSubPr>
          <m:e>
            <m:r>
              <w:rPr>
                <w:rFonts w:ascii="Cambria Math" w:hAnsi="Cambria Math"/>
                <w:sz w:val="16"/>
                <w:szCs w:val="16"/>
              </w:rPr>
              <m:t>I</m:t>
            </m:r>
            <m:r>
              <w:rPr>
                <w:rFonts w:ascii="Cambria Math" w:hAnsi="Cambria Math"/>
                <w:sz w:val="16"/>
                <w:szCs w:val="16"/>
              </w:rPr>
              <m:t>PM</m:t>
            </m:r>
          </m:e>
          <m:sub>
            <m:r>
              <w:rPr>
                <w:rFonts w:ascii="Cambria Math" w:hAnsi="Cambria Math"/>
                <w:sz w:val="16"/>
                <w:szCs w:val="16"/>
              </w:rPr>
              <m:t>it</m:t>
            </m:r>
          </m:sub>
        </m:sSub>
        <m:r>
          <w:rPr>
            <w:rFonts w:ascii="Cambria Math"/>
            <w:sz w:val="16"/>
            <w:szCs w:val="16"/>
          </w:rPr>
          <m:t>=</m:t>
        </m:r>
        <m:sSub>
          <m:sSubPr>
            <m:ctrlPr>
              <w:rPr>
                <w:rFonts w:ascii="Cambria Math"/>
                <w:i/>
                <w:sz w:val="16"/>
                <w:szCs w:val="16"/>
              </w:rPr>
            </m:ctrlPr>
          </m:sSubPr>
          <m:e>
            <m:r>
              <w:rPr>
                <w:rFonts w:ascii="Cambria Math" w:hAnsi="Cambria Math"/>
                <w:sz w:val="16"/>
                <w:szCs w:val="16"/>
              </w:rPr>
              <m:t>β</m:t>
            </m:r>
          </m:e>
          <m:sub>
            <m:r>
              <w:rPr>
                <w:rFonts w:ascii="Cambria Math"/>
                <w:sz w:val="16"/>
                <w:szCs w:val="16"/>
              </w:rPr>
              <m:t>0</m:t>
            </m:r>
          </m:sub>
        </m:sSub>
        <m:r>
          <w:rPr>
            <w:rFonts w:ascii="Cambria Math"/>
            <w:sz w:val="16"/>
            <w:szCs w:val="16"/>
          </w:rPr>
          <m:t>+</m:t>
        </m:r>
        <m:r>
          <w:rPr>
            <w:rFonts w:ascii="Cambria Math" w:hAnsi="Cambria Math"/>
            <w:sz w:val="16"/>
            <w:szCs w:val="16"/>
          </w:rPr>
          <m:t>β</m:t>
        </m:r>
        <m:r>
          <w:rPr>
            <w:rFonts w:ascii="Cambria Math"/>
            <w:sz w:val="16"/>
            <w:szCs w:val="16"/>
          </w:rPr>
          <m:t>1</m:t>
        </m:r>
        <m:r>
          <w:rPr>
            <w:rFonts w:ascii="Cambria Math" w:hAnsi="Cambria Math"/>
            <w:sz w:val="16"/>
            <w:szCs w:val="16"/>
          </w:rPr>
          <m:t>LOG</m:t>
        </m:r>
        <m:d>
          <m:dPr>
            <m:ctrlPr>
              <w:rPr>
                <w:rFonts w:ascii="Cambria Math"/>
                <w:i/>
                <w:sz w:val="16"/>
                <w:szCs w:val="16"/>
              </w:rPr>
            </m:ctrlPr>
          </m:dPr>
          <m:e>
            <m:r>
              <w:rPr>
                <w:rFonts w:ascii="Cambria Math" w:hAnsi="Cambria Math"/>
                <w:sz w:val="16"/>
                <w:szCs w:val="16"/>
              </w:rPr>
              <m:t>JP</m:t>
            </m:r>
          </m:e>
        </m:d>
        <m:r>
          <w:rPr>
            <w:rFonts w:ascii="Cambria Math" w:hAnsi="Cambria Math"/>
            <w:sz w:val="16"/>
            <w:szCs w:val="16"/>
          </w:rPr>
          <m:t>it</m:t>
        </m:r>
        <m:r>
          <w:rPr>
            <w:rFonts w:ascii="Cambria Math"/>
            <w:sz w:val="16"/>
            <w:szCs w:val="16"/>
          </w:rPr>
          <m:t>+</m:t>
        </m:r>
        <m:r>
          <w:rPr>
            <w:rFonts w:ascii="Cambria Math" w:hAnsi="Cambria Math"/>
            <w:sz w:val="16"/>
            <w:szCs w:val="16"/>
          </w:rPr>
          <m:t>β</m:t>
        </m:r>
        <m:r>
          <w:rPr>
            <w:rFonts w:ascii="Cambria Math"/>
            <w:sz w:val="16"/>
            <w:szCs w:val="16"/>
          </w:rPr>
          <m:t>2</m:t>
        </m:r>
        <m:r>
          <w:rPr>
            <w:rFonts w:ascii="Cambria Math" w:hAnsi="Cambria Math"/>
            <w:sz w:val="16"/>
            <w:szCs w:val="16"/>
          </w:rPr>
          <m:t>LOG</m:t>
        </m:r>
        <m:r>
          <w:rPr>
            <w:rFonts w:ascii="Cambria Math"/>
            <w:sz w:val="16"/>
            <w:szCs w:val="16"/>
          </w:rPr>
          <m:t>(</m:t>
        </m:r>
        <m:r>
          <w:rPr>
            <w:rFonts w:ascii="Cambria Math" w:hAnsi="Cambria Math"/>
            <w:sz w:val="16"/>
            <w:szCs w:val="16"/>
          </w:rPr>
          <m:t>TPT</m:t>
        </m:r>
        <m:r>
          <w:rPr>
            <w:rFonts w:ascii="Cambria Math"/>
            <w:sz w:val="16"/>
            <w:szCs w:val="16"/>
          </w:rPr>
          <m:t>)</m:t>
        </m:r>
        <m:r>
          <w:rPr>
            <w:rFonts w:ascii="Cambria Math" w:hAnsi="Cambria Math"/>
            <w:sz w:val="16"/>
            <w:szCs w:val="16"/>
          </w:rPr>
          <m:t>it</m:t>
        </m:r>
        <m:r>
          <w:rPr>
            <w:rFonts w:ascii="Cambria Math"/>
            <w:sz w:val="16"/>
            <w:szCs w:val="16"/>
          </w:rPr>
          <m:t>+</m:t>
        </m:r>
        <m:r>
          <w:rPr>
            <w:rFonts w:ascii="Cambria Math" w:hAnsi="Cambria Math"/>
            <w:sz w:val="16"/>
            <w:szCs w:val="16"/>
          </w:rPr>
          <m:t>β</m:t>
        </m:r>
        <m:r>
          <w:rPr>
            <w:rFonts w:ascii="Cambria Math"/>
            <w:sz w:val="16"/>
            <w:szCs w:val="16"/>
          </w:rPr>
          <m:t>3</m:t>
        </m:r>
        <m:r>
          <w:rPr>
            <w:rFonts w:ascii="Cambria Math" w:hAnsi="Cambria Math"/>
            <w:sz w:val="16"/>
            <w:szCs w:val="16"/>
          </w:rPr>
          <m:t>LOG</m:t>
        </m:r>
        <m:r>
          <w:rPr>
            <w:rFonts w:ascii="Cambria Math"/>
            <w:sz w:val="16"/>
            <w:szCs w:val="16"/>
          </w:rPr>
          <m:t>(</m:t>
        </m:r>
        <m:r>
          <w:rPr>
            <w:rFonts w:ascii="Cambria Math" w:hAnsi="Cambria Math"/>
            <w:sz w:val="16"/>
            <w:szCs w:val="16"/>
          </w:rPr>
          <m:t>JI</m:t>
        </m:r>
        <m:r>
          <w:rPr>
            <w:rFonts w:ascii="Cambria Math"/>
            <w:sz w:val="16"/>
            <w:szCs w:val="16"/>
          </w:rPr>
          <m:t>)</m:t>
        </m:r>
        <m:r>
          <w:rPr>
            <w:rFonts w:ascii="Cambria Math" w:hAnsi="Cambria Math"/>
            <w:sz w:val="16"/>
            <w:szCs w:val="16"/>
          </w:rPr>
          <m:t>it</m:t>
        </m:r>
        <m:r>
          <w:rPr>
            <w:rFonts w:ascii="Cambria Math"/>
            <w:sz w:val="16"/>
            <w:szCs w:val="16"/>
          </w:rPr>
          <m:t>+</m:t>
        </m:r>
        <m:sSub>
          <m:sSubPr>
            <m:ctrlPr>
              <w:rPr>
                <w:rFonts w:ascii="Cambria Math"/>
                <w:i/>
                <w:sz w:val="16"/>
                <w:szCs w:val="16"/>
              </w:rPr>
            </m:ctrlPr>
          </m:sSubPr>
          <m:e>
            <m:r>
              <w:rPr>
                <w:rFonts w:ascii="Cambria Math" w:hAnsi="Cambria Math"/>
                <w:sz w:val="16"/>
                <w:szCs w:val="16"/>
              </w:rPr>
              <m:t>u</m:t>
            </m:r>
          </m:e>
          <m:sub>
            <m:r>
              <w:rPr>
                <w:rFonts w:ascii="Cambria Math" w:hAnsi="Cambria Math"/>
                <w:sz w:val="16"/>
                <w:szCs w:val="16"/>
              </w:rPr>
              <m:t>it</m:t>
            </m:r>
          </m:sub>
        </m:sSub>
      </m:oMath>
      <w:r w:rsidRPr="000D1209">
        <w:rPr>
          <w:rFonts w:eastAsiaTheme="minorEastAsia"/>
          <w:sz w:val="16"/>
          <w:szCs w:val="16"/>
        </w:rPr>
        <w:t xml:space="preserve"> </w:t>
      </w:r>
    </w:p>
    <w:p w:rsidR="005B7509" w:rsidRPr="000D1209" w:rsidRDefault="005B7509" w:rsidP="005B7509">
      <w:pPr>
        <w:pStyle w:val="ListParagraph"/>
        <w:spacing w:after="0" w:line="480" w:lineRule="auto"/>
        <w:ind w:left="360"/>
        <w:jc w:val="both"/>
        <w:rPr>
          <w:rFonts w:ascii="Times New Roman" w:eastAsiaTheme="minorEastAsia" w:hAnsi="Times New Roman"/>
          <w:sz w:val="16"/>
          <w:szCs w:val="16"/>
        </w:rPr>
      </w:pPr>
      <m:oMathPara>
        <m:oMathParaPr>
          <m:jc m:val="left"/>
        </m:oMathParaPr>
        <m:oMath>
          <m:sSub>
            <m:sSubPr>
              <m:ctrlPr>
                <w:rPr>
                  <w:rFonts w:ascii="Cambria Math" w:hAnsi="Times New Roman"/>
                  <w:i/>
                  <w:sz w:val="16"/>
                  <w:szCs w:val="16"/>
                </w:rPr>
              </m:ctrlPr>
            </m:sSubPr>
            <m:e>
              <m:r>
                <w:rPr>
                  <w:rFonts w:ascii="Cambria Math" w:hAnsi="Cambria Math"/>
                  <w:sz w:val="16"/>
                  <w:szCs w:val="16"/>
                </w:rPr>
                <m:t>PDRB</m:t>
              </m:r>
            </m:e>
            <m:sub>
              <m:r>
                <w:rPr>
                  <w:rFonts w:ascii="Cambria Math" w:hAnsi="Cambria Math"/>
                  <w:sz w:val="16"/>
                  <w:szCs w:val="16"/>
                </w:rPr>
                <m:t>it</m:t>
              </m:r>
            </m:sub>
          </m:sSub>
          <m:r>
            <w:rPr>
              <w:rFonts w:ascii="Cambria Math" w:hAnsi="Times New Roman"/>
              <w:sz w:val="16"/>
              <w:szCs w:val="16"/>
            </w:rPr>
            <m:t>=</m:t>
          </m:r>
          <m:r>
            <m:rPr>
              <m:sty m:val="p"/>
            </m:rPr>
            <w:rPr>
              <w:rFonts w:ascii="Cambria Math" w:hAnsi="Times New Roman"/>
              <w:color w:val="000000"/>
              <w:sz w:val="16"/>
              <w:szCs w:val="16"/>
            </w:rPr>
            <m:t>7.605045</m:t>
          </m:r>
          <m:r>
            <w:rPr>
              <w:rFonts w:ascii="Cambria Math" w:hAnsi="Times New Roman"/>
              <w:sz w:val="16"/>
              <w:szCs w:val="16"/>
            </w:rPr>
            <m:t>+</m:t>
          </m:r>
          <m:r>
            <m:rPr>
              <m:sty m:val="p"/>
            </m:rPr>
            <w:rPr>
              <w:rFonts w:ascii="Cambria Math" w:hAnsi="Times New Roman"/>
              <w:color w:val="000000"/>
              <w:sz w:val="16"/>
              <w:szCs w:val="16"/>
            </w:rPr>
            <m:t>0.000279</m:t>
          </m:r>
          <m:r>
            <w:rPr>
              <w:rFonts w:ascii="Cambria Math" w:hAnsi="Cambria Math"/>
              <w:sz w:val="16"/>
              <w:szCs w:val="16"/>
            </w:rPr>
            <m:t>JPit</m:t>
          </m:r>
          <m:r>
            <m:rPr>
              <m:sty m:val="p"/>
            </m:rPr>
            <w:rPr>
              <w:rFonts w:ascii="Times New Roman" w:hAnsi="Times New Roman"/>
              <w:color w:val="000000"/>
              <w:sz w:val="16"/>
              <w:szCs w:val="16"/>
            </w:rPr>
            <m:t>-</m:t>
          </m:r>
          <m:r>
            <m:rPr>
              <m:sty m:val="p"/>
            </m:rPr>
            <w:rPr>
              <w:rFonts w:ascii="Cambria Math" w:hAnsi="Times New Roman"/>
              <w:color w:val="000000"/>
              <w:sz w:val="16"/>
              <w:szCs w:val="16"/>
            </w:rPr>
            <m:t>2.51E05</m:t>
          </m:r>
          <m:r>
            <w:rPr>
              <w:rFonts w:ascii="Cambria Math" w:hAnsi="Cambria Math"/>
              <w:sz w:val="16"/>
              <w:szCs w:val="16"/>
            </w:rPr>
            <m:t>TPTit</m:t>
          </m:r>
          <m:r>
            <m:rPr>
              <m:sty m:val="p"/>
            </m:rPr>
            <w:rPr>
              <w:rFonts w:ascii="Times New Roman" w:hAnsi="Times New Roman"/>
              <w:color w:val="000000"/>
              <w:sz w:val="16"/>
              <w:szCs w:val="16"/>
            </w:rPr>
            <m:t>-</m:t>
          </m:r>
          <m:r>
            <m:rPr>
              <m:sty m:val="p"/>
            </m:rPr>
            <w:rPr>
              <w:rFonts w:ascii="Cambria Math" w:hAnsi="Times New Roman"/>
              <w:color w:val="000000"/>
              <w:sz w:val="16"/>
              <w:szCs w:val="16"/>
            </w:rPr>
            <m:t>9.82E05</m:t>
          </m:r>
          <m:r>
            <w:rPr>
              <w:rFonts w:ascii="Cambria Math" w:hAnsi="Cambria Math"/>
              <w:sz w:val="16"/>
              <w:szCs w:val="16"/>
            </w:rPr>
            <m:t>JIit</m:t>
          </m:r>
          <m:r>
            <w:rPr>
              <w:rFonts w:ascii="Cambria Math" w:hAnsi="Times New Roman"/>
              <w:sz w:val="16"/>
              <w:szCs w:val="16"/>
            </w:rPr>
            <m:t>+</m:t>
          </m:r>
          <m:sSub>
            <m:sSubPr>
              <m:ctrlPr>
                <w:rPr>
                  <w:rFonts w:ascii="Cambria Math" w:hAnsi="Times New Roman"/>
                  <w:i/>
                  <w:sz w:val="16"/>
                  <w:szCs w:val="16"/>
                </w:rPr>
              </m:ctrlPr>
            </m:sSubPr>
            <m:e>
              <m:r>
                <w:rPr>
                  <w:rFonts w:ascii="Cambria Math" w:hAnsi="Cambria Math"/>
                  <w:sz w:val="16"/>
                  <w:szCs w:val="16"/>
                </w:rPr>
                <m:t>u</m:t>
              </m:r>
            </m:e>
            <m:sub>
              <m:r>
                <w:rPr>
                  <w:rFonts w:ascii="Cambria Math" w:hAnsi="Cambria Math"/>
                  <w:sz w:val="16"/>
                  <w:szCs w:val="16"/>
                </w:rPr>
                <m:t>it</m:t>
              </m:r>
            </m:sub>
          </m:sSub>
        </m:oMath>
      </m:oMathPara>
    </w:p>
    <w:p w:rsidR="005B7509" w:rsidRPr="000D1209" w:rsidRDefault="005B7509" w:rsidP="000D1209">
      <w:pPr>
        <w:pStyle w:val="ListParagraph"/>
        <w:spacing w:after="0" w:line="360" w:lineRule="auto"/>
        <w:ind w:left="0" w:firstLine="284"/>
        <w:jc w:val="both"/>
        <w:rPr>
          <w:rFonts w:ascii="Times New Roman" w:hAnsi="Times New Roman"/>
        </w:rPr>
      </w:pPr>
      <w:r w:rsidRPr="000D1209">
        <w:rPr>
          <w:rFonts w:ascii="Times New Roman" w:hAnsi="Times New Roman"/>
        </w:rPr>
        <w:t>Pada persamaan di atas ditunjukkan pengaruh variabel independen (X) terhadap variabel dependen (Y). Adapun arti dari koefisien regresi tersebut adalah:</w:t>
      </w:r>
    </w:p>
    <w:p w:rsidR="005B7509" w:rsidRPr="000D1209" w:rsidRDefault="005B7509" w:rsidP="000D1209">
      <w:pPr>
        <w:pStyle w:val="ListParagraph"/>
        <w:widowControl w:val="0"/>
        <w:numPr>
          <w:ilvl w:val="0"/>
          <w:numId w:val="33"/>
        </w:numPr>
        <w:overflowPunct w:val="0"/>
        <w:autoSpaceDE w:val="0"/>
        <w:autoSpaceDN w:val="0"/>
        <w:adjustRightInd w:val="0"/>
        <w:spacing w:after="0" w:line="360" w:lineRule="auto"/>
        <w:ind w:left="284" w:hanging="284"/>
        <w:jc w:val="both"/>
        <w:rPr>
          <w:rFonts w:ascii="Times New Roman" w:hAnsi="Times New Roman"/>
        </w:rPr>
      </w:pPr>
      <w:r w:rsidRPr="000D1209">
        <w:rPr>
          <w:rFonts w:ascii="Times New Roman" w:hAnsi="Times New Roman"/>
        </w:rPr>
        <w:t xml:space="preserve">Ada hubungan positif antara Jumlah Penduduk dengan PDRB dan berpengaruh signifikan. </w:t>
      </w:r>
    </w:p>
    <w:p w:rsidR="005B7509" w:rsidRPr="000D1209" w:rsidRDefault="005B7509" w:rsidP="000D1209">
      <w:pPr>
        <w:pStyle w:val="ListParagraph"/>
        <w:widowControl w:val="0"/>
        <w:numPr>
          <w:ilvl w:val="0"/>
          <w:numId w:val="33"/>
        </w:numPr>
        <w:overflowPunct w:val="0"/>
        <w:autoSpaceDE w:val="0"/>
        <w:autoSpaceDN w:val="0"/>
        <w:adjustRightInd w:val="0"/>
        <w:spacing w:after="0" w:line="360" w:lineRule="auto"/>
        <w:ind w:left="284" w:hanging="284"/>
        <w:jc w:val="both"/>
        <w:rPr>
          <w:rFonts w:ascii="Times New Roman" w:hAnsi="Times New Roman"/>
          <w:b/>
        </w:rPr>
      </w:pPr>
      <w:r w:rsidRPr="000D1209">
        <w:rPr>
          <w:rFonts w:ascii="Times New Roman" w:hAnsi="Times New Roman"/>
        </w:rPr>
        <w:t>Ada hubungan negatif antara Tingkat Pengangguran Terbuka dengan PDRB dan tidak signifikan</w:t>
      </w:r>
    </w:p>
    <w:p w:rsidR="005B7509" w:rsidRPr="000D1209" w:rsidRDefault="005B7509" w:rsidP="000D1209">
      <w:pPr>
        <w:pStyle w:val="ListParagraph"/>
        <w:widowControl w:val="0"/>
        <w:numPr>
          <w:ilvl w:val="0"/>
          <w:numId w:val="33"/>
        </w:numPr>
        <w:overflowPunct w:val="0"/>
        <w:autoSpaceDE w:val="0"/>
        <w:autoSpaceDN w:val="0"/>
        <w:adjustRightInd w:val="0"/>
        <w:spacing w:after="0" w:line="360" w:lineRule="auto"/>
        <w:ind w:left="284" w:hanging="284"/>
        <w:jc w:val="both"/>
        <w:rPr>
          <w:rFonts w:ascii="Times New Roman" w:hAnsi="Times New Roman"/>
        </w:rPr>
      </w:pPr>
      <w:r w:rsidRPr="000D1209">
        <w:rPr>
          <w:rFonts w:ascii="Times New Roman" w:hAnsi="Times New Roman"/>
        </w:rPr>
        <w:t xml:space="preserve">Ada hubungan negatif antara Jumlah Industri dengan PDRB, dan berpengaruh signifikan. </w:t>
      </w:r>
    </w:p>
    <w:p w:rsidR="000D1209" w:rsidRDefault="000D1209" w:rsidP="000D1209">
      <w:pPr>
        <w:pStyle w:val="07aSubJudul"/>
        <w:spacing w:before="0"/>
        <w:ind w:left="284" w:hanging="284"/>
        <w:rPr>
          <w:sz w:val="22"/>
          <w:szCs w:val="22"/>
          <w:lang w:val="en-US"/>
        </w:rPr>
      </w:pPr>
    </w:p>
    <w:p w:rsidR="003B64F8" w:rsidRPr="00544365" w:rsidRDefault="003B64F8" w:rsidP="000D1209">
      <w:pPr>
        <w:pStyle w:val="07aSubJudul"/>
        <w:spacing w:before="0"/>
        <w:ind w:left="284" w:hanging="284"/>
        <w:rPr>
          <w:sz w:val="22"/>
          <w:szCs w:val="22"/>
        </w:rPr>
      </w:pPr>
      <w:r w:rsidRPr="00544365">
        <w:rPr>
          <w:sz w:val="22"/>
          <w:szCs w:val="22"/>
          <w:lang w:val="id-ID"/>
        </w:rPr>
        <w:t>KE</w:t>
      </w:r>
      <w:r w:rsidRPr="00544365">
        <w:rPr>
          <w:sz w:val="22"/>
          <w:szCs w:val="22"/>
        </w:rPr>
        <w:t>SIMPULAN DAN SARAN</w:t>
      </w:r>
    </w:p>
    <w:p w:rsidR="003B64F8" w:rsidRPr="00544365" w:rsidRDefault="003B64F8" w:rsidP="000D1209">
      <w:pPr>
        <w:pStyle w:val="07csubsubjuduldibawahsubjudul"/>
        <w:ind w:left="284" w:hanging="284"/>
      </w:pPr>
      <w:r w:rsidRPr="00544365">
        <w:t>Kesimpulan</w:t>
      </w:r>
    </w:p>
    <w:p w:rsidR="00E47DE3" w:rsidRPr="00544365" w:rsidRDefault="00E47DE3" w:rsidP="000D1209">
      <w:pPr>
        <w:pStyle w:val="ListParagraph"/>
        <w:spacing w:after="0" w:line="360" w:lineRule="auto"/>
        <w:ind w:left="0" w:firstLine="284"/>
        <w:jc w:val="both"/>
        <w:rPr>
          <w:rFonts w:ascii="Times New Roman" w:hAnsi="Times New Roman"/>
          <w:lang w:val="en-US"/>
        </w:rPr>
      </w:pPr>
      <w:r w:rsidRPr="00544365">
        <w:rPr>
          <w:rFonts w:ascii="Times New Roman" w:hAnsi="Times New Roman"/>
          <w:lang w:val="en-US"/>
        </w:rPr>
        <w:t xml:space="preserve">Interpretasi pada analisis regresi data panel analisis determinan pertumbuhan industri di Provinsi Sumatera Utara tahun 2010–2015, dengan model yang digunakan Random Effect Model (REM) adalah: Nilai Adjusted R2 sebesar </w:t>
      </w:r>
      <w:r w:rsidRPr="00544365">
        <w:rPr>
          <w:rFonts w:ascii="Times New Roman" w:hAnsi="Times New Roman"/>
          <w:color w:val="000000"/>
        </w:rPr>
        <w:t>0.724592</w:t>
      </w:r>
      <w:r w:rsidRPr="00544365">
        <w:rPr>
          <w:rFonts w:ascii="Times New Roman" w:hAnsi="Times New Roman"/>
          <w:lang w:val="en-US"/>
        </w:rPr>
        <w:t xml:space="preserve">. Hal ini dapat diartikan bahwa variabel bebas dalam model mampu menjelaskan variasi pengaruh dari variabel terikat sebesar 72 persen, sedangkan sisanya sebesar 28 persen dipengaruhi oleh variabel-variabel lain di luar </w:t>
      </w:r>
      <w:r w:rsidRPr="00544365">
        <w:rPr>
          <w:rFonts w:ascii="Times New Roman" w:hAnsi="Times New Roman"/>
          <w:lang w:val="en-US"/>
        </w:rPr>
        <w:lastRenderedPageBreak/>
        <w:t xml:space="preserve">model tersebut. Dengan nilai konstanta sebesar </w:t>
      </w:r>
      <w:r w:rsidRPr="00544365">
        <w:rPr>
          <w:rFonts w:ascii="Times New Roman" w:hAnsi="Times New Roman"/>
          <w:color w:val="000000"/>
        </w:rPr>
        <w:t>7.605045</w:t>
      </w:r>
      <w:r w:rsidRPr="00544365">
        <w:rPr>
          <w:rFonts w:ascii="Times New Roman" w:hAnsi="Times New Roman"/>
          <w:color w:val="000000"/>
          <w:lang w:val="en-US"/>
        </w:rPr>
        <w:t xml:space="preserve"> </w:t>
      </w:r>
      <w:r w:rsidRPr="00544365">
        <w:rPr>
          <w:rFonts w:ascii="Times New Roman" w:hAnsi="Times New Roman"/>
          <w:lang w:val="en-US"/>
        </w:rPr>
        <w:t xml:space="preserve">1.108161, maka dapat dijelaskan sebagai berikut: apabila variabel bebas (jumlah industri, tingkat pengangguran terbuka, jumlah penduduk) dianggap konstan maka nilai pertumbuhan sektor industri Kabupaten/kota Sumatera Utara mengalami peningkatan sebesar </w:t>
      </w:r>
      <w:r w:rsidRPr="00544365">
        <w:rPr>
          <w:rFonts w:ascii="Times New Roman" w:hAnsi="Times New Roman"/>
          <w:color w:val="000000"/>
        </w:rPr>
        <w:t>7.6</w:t>
      </w:r>
      <w:r w:rsidRPr="00544365">
        <w:rPr>
          <w:rFonts w:ascii="Times New Roman" w:hAnsi="Times New Roman"/>
          <w:color w:val="000000"/>
          <w:lang w:val="en-US"/>
        </w:rPr>
        <w:t>1%</w:t>
      </w:r>
      <w:r w:rsidRPr="00544365">
        <w:rPr>
          <w:rFonts w:ascii="Times New Roman" w:hAnsi="Times New Roman"/>
          <w:lang w:val="en-US"/>
        </w:rPr>
        <w:t xml:space="preserve">. </w:t>
      </w:r>
    </w:p>
    <w:p w:rsidR="00E47DE3" w:rsidRPr="00544365" w:rsidRDefault="00E47DE3" w:rsidP="000D1209">
      <w:pPr>
        <w:pStyle w:val="ListParagraph"/>
        <w:spacing w:after="0" w:line="360" w:lineRule="auto"/>
        <w:ind w:left="0" w:firstLine="284"/>
        <w:jc w:val="both"/>
        <w:rPr>
          <w:rFonts w:ascii="Times New Roman" w:hAnsi="Times New Roman"/>
          <w:lang w:val="en-US"/>
        </w:rPr>
      </w:pPr>
      <w:r w:rsidRPr="00544365">
        <w:rPr>
          <w:rFonts w:ascii="Times New Roman" w:hAnsi="Times New Roman"/>
          <w:lang w:val="en-US"/>
        </w:rPr>
        <w:t xml:space="preserve">Dari hasil pengujian regresi jumlah penduduk diketahui bahwa berpengaruh positif terhadap pertumbuhan ekonomi sektor industri. Dengan nilai koefisien </w:t>
      </w:r>
      <w:r w:rsidRPr="00544365">
        <w:rPr>
          <w:rFonts w:ascii="Times New Roman" w:hAnsi="Times New Roman"/>
          <w:color w:val="000000"/>
        </w:rPr>
        <w:t>0.0001</w:t>
      </w:r>
      <w:r w:rsidRPr="00544365">
        <w:rPr>
          <w:rFonts w:ascii="Times New Roman" w:hAnsi="Times New Roman"/>
          <w:lang w:val="en-US"/>
        </w:rPr>
        <w:t>. Hal ini berarti peningkatan jumlah penduduk sebesar 1</w:t>
      </w:r>
      <w:r w:rsidR="00F120EE" w:rsidRPr="00544365">
        <w:rPr>
          <w:rFonts w:ascii="Times New Roman" w:hAnsi="Times New Roman"/>
          <w:lang w:val="en-US"/>
        </w:rPr>
        <w:t>%</w:t>
      </w:r>
      <w:r w:rsidRPr="00544365">
        <w:rPr>
          <w:rFonts w:ascii="Times New Roman" w:hAnsi="Times New Roman"/>
          <w:lang w:val="en-US"/>
        </w:rPr>
        <w:t xml:space="preserve"> maka akan menyebabkan pertumbuhan ekonomi industri mengalami peningkatan sebesar </w:t>
      </w:r>
      <w:r w:rsidRPr="00544365">
        <w:rPr>
          <w:rFonts w:ascii="Times New Roman" w:hAnsi="Times New Roman"/>
          <w:color w:val="000000"/>
        </w:rPr>
        <w:t>0.0</w:t>
      </w:r>
      <w:r w:rsidRPr="00544365">
        <w:rPr>
          <w:rFonts w:ascii="Times New Roman" w:hAnsi="Times New Roman"/>
          <w:color w:val="000000"/>
          <w:lang w:val="en-US"/>
        </w:rPr>
        <w:t>1%</w:t>
      </w:r>
      <w:r w:rsidRPr="00544365">
        <w:rPr>
          <w:rFonts w:ascii="Times New Roman" w:hAnsi="Times New Roman"/>
          <w:lang w:val="en-US"/>
        </w:rPr>
        <w:t xml:space="preserve">. </w:t>
      </w:r>
    </w:p>
    <w:p w:rsidR="00E47DE3" w:rsidRPr="00544365" w:rsidRDefault="00E47DE3" w:rsidP="000D1209">
      <w:pPr>
        <w:pStyle w:val="ListParagraph"/>
        <w:spacing w:after="0" w:line="360" w:lineRule="auto"/>
        <w:ind w:left="0" w:firstLine="284"/>
        <w:jc w:val="both"/>
        <w:rPr>
          <w:rFonts w:ascii="Times New Roman" w:hAnsi="Times New Roman"/>
          <w:lang w:val="en-US"/>
        </w:rPr>
      </w:pPr>
      <w:r w:rsidRPr="00544365">
        <w:rPr>
          <w:rFonts w:ascii="Times New Roman" w:hAnsi="Times New Roman"/>
          <w:lang w:val="en-US"/>
        </w:rPr>
        <w:t xml:space="preserve">Hasil pengujian regresi tingkat pengangguran terbuka diketahui bahwa berpengaruh negatif dan tidak signifikan terhadap pertumbuhan ekonomi sektor industri. Nilai koefisien </w:t>
      </w:r>
      <w:r w:rsidRPr="00544365">
        <w:rPr>
          <w:rFonts w:ascii="Times New Roman" w:hAnsi="Times New Roman"/>
          <w:color w:val="000000"/>
        </w:rPr>
        <w:t>0.5607</w:t>
      </w:r>
      <w:r w:rsidRPr="00544365">
        <w:rPr>
          <w:rFonts w:ascii="Times New Roman" w:hAnsi="Times New Roman"/>
          <w:lang w:val="en-US"/>
        </w:rPr>
        <w:t xml:space="preserve"> berarti peningkatan jumlah tingkat pengangguran terbuka sebesar 1</w:t>
      </w:r>
      <w:r w:rsidR="00F120EE" w:rsidRPr="00544365">
        <w:rPr>
          <w:rFonts w:ascii="Times New Roman" w:hAnsi="Times New Roman"/>
          <w:lang w:val="en-US"/>
        </w:rPr>
        <w:t>%</w:t>
      </w:r>
      <w:r w:rsidRPr="00544365">
        <w:rPr>
          <w:rFonts w:ascii="Times New Roman" w:hAnsi="Times New Roman"/>
          <w:lang w:val="en-US"/>
        </w:rPr>
        <w:t xml:space="preserve"> maka akan menyebabkan turunnya peningkatan pertumbuhan ekonomi industri sebesar Rp 0.56%. </w:t>
      </w:r>
      <w:r w:rsidR="00F120EE" w:rsidRPr="00544365">
        <w:rPr>
          <w:rFonts w:ascii="Times New Roman" w:hAnsi="Times New Roman"/>
          <w:lang w:val="en-US"/>
        </w:rPr>
        <w:t>Hasil ini dapat diinterpetasikan bahwa kenaikan atau penurunan pertumbuhan tenaga kerja di sektor industr</w:t>
      </w:r>
      <w:r w:rsidR="00544365">
        <w:rPr>
          <w:rFonts w:ascii="Times New Roman" w:hAnsi="Times New Roman"/>
          <w:lang w:val="en-US"/>
        </w:rPr>
        <w:t>i</w:t>
      </w:r>
      <w:r w:rsidR="00F120EE" w:rsidRPr="00544365">
        <w:rPr>
          <w:rFonts w:ascii="Times New Roman" w:hAnsi="Times New Roman"/>
          <w:lang w:val="en-US"/>
        </w:rPr>
        <w:t xml:space="preserve"> tidak mempengaruhi PDRB.</w:t>
      </w:r>
    </w:p>
    <w:p w:rsidR="00E47DE3" w:rsidRPr="00544365" w:rsidRDefault="00E47DE3" w:rsidP="000D1209">
      <w:pPr>
        <w:pStyle w:val="ListParagraph"/>
        <w:spacing w:after="0" w:line="360" w:lineRule="auto"/>
        <w:ind w:left="0" w:firstLine="284"/>
        <w:jc w:val="both"/>
        <w:rPr>
          <w:rFonts w:ascii="Times New Roman" w:hAnsi="Times New Roman"/>
          <w:lang w:val="en-US"/>
        </w:rPr>
      </w:pPr>
      <w:r w:rsidRPr="00544365">
        <w:rPr>
          <w:rFonts w:ascii="Times New Roman" w:hAnsi="Times New Roman"/>
          <w:lang w:val="en-US"/>
        </w:rPr>
        <w:t xml:space="preserve">Hasil regresi ditemukan bahwa jumlah industri memberikan pengaruh yang negatif signifikan terhadap pertumbuhan ekonomi sektor industri dilihat dari probabilitas sebesar </w:t>
      </w:r>
      <w:r w:rsidRPr="00544365">
        <w:rPr>
          <w:rFonts w:ascii="Times New Roman" w:hAnsi="Times New Roman"/>
          <w:color w:val="000000"/>
        </w:rPr>
        <w:t>0.0235</w:t>
      </w:r>
      <w:r w:rsidRPr="00544365">
        <w:rPr>
          <w:rFonts w:ascii="Times New Roman" w:hAnsi="Times New Roman"/>
          <w:lang w:val="en-US"/>
        </w:rPr>
        <w:t>. Hal ini berarti peningkatan jumlah industri sebesar 1</w:t>
      </w:r>
      <w:r w:rsidR="00F120EE" w:rsidRPr="00544365">
        <w:rPr>
          <w:rFonts w:ascii="Times New Roman" w:hAnsi="Times New Roman"/>
          <w:lang w:val="en-US"/>
        </w:rPr>
        <w:t>%</w:t>
      </w:r>
      <w:r w:rsidRPr="00544365">
        <w:rPr>
          <w:rFonts w:ascii="Times New Roman" w:hAnsi="Times New Roman"/>
          <w:lang w:val="en-US"/>
        </w:rPr>
        <w:t xml:space="preserve"> maka akan menyebabkan pertumbuhan ekonomi industri mengalami peningkatan sebesar Rp 0.02%.</w:t>
      </w:r>
      <w:r w:rsidR="00F120EE" w:rsidRPr="00544365">
        <w:rPr>
          <w:rFonts w:ascii="Times New Roman" w:hAnsi="Times New Roman"/>
          <w:lang w:val="en-US"/>
        </w:rPr>
        <w:t xml:space="preserve"> Dapat diinterpetasikan bahwa semakin besar </w:t>
      </w:r>
      <w:r w:rsidR="00F120EE" w:rsidRPr="00544365">
        <w:rPr>
          <w:rFonts w:ascii="Times New Roman" w:hAnsi="Times New Roman"/>
          <w:lang w:val="en-US"/>
        </w:rPr>
        <w:lastRenderedPageBreak/>
        <w:t>pertumbuhan jumlah industri dalam hal ini berpengaruh negatif dikarenakan harus didukung oleh jumlah investasi di sektor industry baik yang berasal dari dalam negeri maupun luar negeri maka akan semakin besar pertumbuhan PDRB di Kabupaten/Kota Sumatera Utara.</w:t>
      </w:r>
    </w:p>
    <w:p w:rsidR="00654367" w:rsidRPr="00544365" w:rsidRDefault="00654367" w:rsidP="00654367">
      <w:pPr>
        <w:pStyle w:val="07bsubsubjuduldibawahparagraf"/>
      </w:pPr>
      <w:r w:rsidRPr="00544365">
        <w:t>Saran</w:t>
      </w:r>
    </w:p>
    <w:p w:rsidR="00830E0D" w:rsidRPr="00D311C6" w:rsidRDefault="00830E0D" w:rsidP="00830E0D">
      <w:pPr>
        <w:spacing w:line="360" w:lineRule="auto"/>
        <w:ind w:firstLine="284"/>
        <w:rPr>
          <w:sz w:val="22"/>
          <w:szCs w:val="22"/>
        </w:rPr>
      </w:pPr>
      <w:r w:rsidRPr="00D311C6">
        <w:rPr>
          <w:sz w:val="22"/>
          <w:szCs w:val="22"/>
        </w:rPr>
        <w:t xml:space="preserve">Atas dasar Reformasi Kebijakan dan Pengembangan Industri Nasional dan Visi 2030 bahwa arah umum pengembangan industry dengan pendekatan </w:t>
      </w:r>
      <w:r w:rsidRPr="00D311C6">
        <w:rPr>
          <w:i/>
          <w:sz w:val="22"/>
          <w:szCs w:val="22"/>
        </w:rPr>
        <w:t xml:space="preserve">top-down </w:t>
      </w:r>
      <w:r w:rsidRPr="00D311C6">
        <w:rPr>
          <w:sz w:val="22"/>
          <w:szCs w:val="22"/>
        </w:rPr>
        <w:t xml:space="preserve">menghasilkan industry prioritas nasional.. Cabang-cabang industri tertentu yang akan diprioritaskan pengembangannya dipilih dengan seksama dengan tujuan agar lebih terfokus pada sasaran tertentu, serta lebih mudah diukur keberhasilannya. Dalam konteks ini, perspektif spasial pembangunan industri, dengan berbasis kluster </w:t>
      </w:r>
      <w:r w:rsidRPr="00D311C6">
        <w:rPr>
          <w:i/>
          <w:sz w:val="22"/>
          <w:szCs w:val="22"/>
        </w:rPr>
        <w:t>(industrial clusters/districts)</w:t>
      </w:r>
      <w:r w:rsidRPr="00D311C6">
        <w:rPr>
          <w:sz w:val="22"/>
          <w:szCs w:val="22"/>
        </w:rPr>
        <w:t>, merupakan salah satu faktor kunci yang dapat membantu pemerintah pusat dan daerah dalam merumuskan kebijakan industri, dalam hal antara lain:</w:t>
      </w:r>
    </w:p>
    <w:p w:rsidR="00830E0D" w:rsidRPr="00D311C6" w:rsidRDefault="00830E0D" w:rsidP="00830E0D">
      <w:pPr>
        <w:pStyle w:val="ListParagraph"/>
        <w:numPr>
          <w:ilvl w:val="0"/>
          <w:numId w:val="34"/>
        </w:numPr>
        <w:spacing w:after="0" w:line="360" w:lineRule="auto"/>
        <w:ind w:left="284" w:hanging="284"/>
        <w:jc w:val="both"/>
        <w:rPr>
          <w:rFonts w:ascii="Times New Roman" w:hAnsi="Times New Roman"/>
        </w:rPr>
      </w:pPr>
      <w:r w:rsidRPr="00D311C6">
        <w:rPr>
          <w:rFonts w:ascii="Times New Roman" w:hAnsi="Times New Roman"/>
        </w:rPr>
        <w:t>Mendongkrak Daya Saing pada pasar global, dengan meniadakan berbagai proteksi yang menimbulkan ekonomi biaya tinggi, yang perlu dibarengi dengan berbagai persiapan kelembagaan, infrastruktur, dan suprastruktur dalam upaya meningkatkan daya saing di pasar global</w:t>
      </w:r>
    </w:p>
    <w:p w:rsidR="00830E0D" w:rsidRPr="00D311C6" w:rsidRDefault="00830E0D" w:rsidP="00830E0D">
      <w:pPr>
        <w:pStyle w:val="ListParagraph"/>
        <w:numPr>
          <w:ilvl w:val="0"/>
          <w:numId w:val="34"/>
        </w:numPr>
        <w:spacing w:after="0" w:line="360" w:lineRule="auto"/>
        <w:ind w:left="284" w:hanging="284"/>
        <w:jc w:val="both"/>
        <w:rPr>
          <w:rFonts w:ascii="Times New Roman" w:hAnsi="Times New Roman"/>
        </w:rPr>
      </w:pPr>
      <w:r w:rsidRPr="00D311C6">
        <w:rPr>
          <w:rFonts w:ascii="Times New Roman" w:hAnsi="Times New Roman"/>
        </w:rPr>
        <w:t xml:space="preserve">Dalam hal bertambahnya jumlah industri dipengaruhi dengan adanya penanaman modal banyak investor asing, secara bertahap datang untuk memenuhi kapasitas untuk pengembangan potensi daerah, juga untuk penggunaan yang efektif dari kapasitas </w:t>
      </w:r>
      <w:r w:rsidRPr="00D311C6">
        <w:rPr>
          <w:rFonts w:ascii="Times New Roman" w:hAnsi="Times New Roman"/>
        </w:rPr>
        <w:lastRenderedPageBreak/>
        <w:t>sumber daya manusia, tetapi di sisi lain sering kali meningkatkan ketergantungan daerah pada kehadiran besar perusahaan multinasional. Dengan peningkatan risiko karena kemungkinan keluarnya investor asing ke negara-negara dengan biaya produksi yang bahkan lebih rendah dapat dikurangi melalui diversifikasi kegiatan ekonomi di wilayah tersebut, maka melihat ke depan sebagai pengembangan yang paling menjanjikan tampaknya merupakan kegiatan yang padat pengetahuan, ditandai dengan nilai tambah tinggi, volume inovasi tinggi, dan tingkat pengembangan potensi manusia yang tinggi.</w:t>
      </w:r>
    </w:p>
    <w:p w:rsidR="00654367" w:rsidRPr="00654367" w:rsidRDefault="00654367" w:rsidP="00830E0D">
      <w:pPr>
        <w:pStyle w:val="08paragraf"/>
        <w:ind w:left="284" w:hanging="284"/>
      </w:pPr>
    </w:p>
    <w:p w:rsidR="00654367" w:rsidRPr="00544365" w:rsidRDefault="00654367" w:rsidP="00830E0D">
      <w:pPr>
        <w:pStyle w:val="07aSubJudul"/>
        <w:spacing w:before="0"/>
        <w:ind w:left="284" w:hanging="284"/>
        <w:rPr>
          <w:sz w:val="22"/>
          <w:szCs w:val="22"/>
        </w:rPr>
      </w:pPr>
      <w:r w:rsidRPr="00544365">
        <w:rPr>
          <w:sz w:val="22"/>
          <w:szCs w:val="22"/>
        </w:rPr>
        <w:t>DAFTAR PUSTAKA</w:t>
      </w:r>
    </w:p>
    <w:p w:rsidR="00316A97" w:rsidRPr="00316A97" w:rsidRDefault="00622591" w:rsidP="00316A97">
      <w:pPr>
        <w:autoSpaceDE w:val="0"/>
        <w:autoSpaceDN w:val="0"/>
        <w:adjustRightInd w:val="0"/>
        <w:spacing w:line="360" w:lineRule="auto"/>
        <w:ind w:left="480" w:hanging="480"/>
        <w:rPr>
          <w:noProof/>
          <w:sz w:val="22"/>
          <w:szCs w:val="24"/>
        </w:rPr>
      </w:pPr>
      <w:r>
        <w:fldChar w:fldCharType="begin" w:fldLock="1"/>
      </w:r>
      <w:r w:rsidR="00B4217F">
        <w:instrText xml:space="preserve">ADDIN Mendeley Bibliography CSL_BIBLIOGRAPHY </w:instrText>
      </w:r>
      <w:r>
        <w:fldChar w:fldCharType="separate"/>
      </w:r>
      <w:r w:rsidR="00316A97" w:rsidRPr="00316A97">
        <w:rPr>
          <w:noProof/>
          <w:sz w:val="22"/>
          <w:szCs w:val="24"/>
        </w:rPr>
        <w:t xml:space="preserve">Adisasmita, R. (2013). </w:t>
      </w:r>
      <w:r w:rsidR="00316A97" w:rsidRPr="00316A97">
        <w:rPr>
          <w:i/>
          <w:iCs/>
          <w:noProof/>
          <w:sz w:val="22"/>
          <w:szCs w:val="24"/>
        </w:rPr>
        <w:t>Teori-teori Pembangunan Ekonomi Pertumbuhan Ekonomi dan Pertumbuhan Wilayah</w:t>
      </w:r>
      <w:r w:rsidR="00316A97" w:rsidRPr="00316A97">
        <w:rPr>
          <w:noProof/>
          <w:sz w:val="22"/>
          <w:szCs w:val="24"/>
        </w:rPr>
        <w:t>. Yogyakarta: Yogyakarta: Graha Ilmu.</w:t>
      </w:r>
    </w:p>
    <w:p w:rsidR="00316A97" w:rsidRPr="00316A97" w:rsidRDefault="00316A97" w:rsidP="00544365">
      <w:pPr>
        <w:autoSpaceDE w:val="0"/>
        <w:autoSpaceDN w:val="0"/>
        <w:adjustRightInd w:val="0"/>
        <w:ind w:left="480" w:hanging="480"/>
        <w:rPr>
          <w:noProof/>
          <w:sz w:val="22"/>
          <w:szCs w:val="24"/>
        </w:rPr>
      </w:pPr>
      <w:r w:rsidRPr="00316A97">
        <w:rPr>
          <w:noProof/>
          <w:sz w:val="22"/>
          <w:szCs w:val="24"/>
        </w:rPr>
        <w:t xml:space="preserve">Ejaz, Zara; Ullah, M. Aman; Khan, M. U. (2015). </w:t>
      </w:r>
      <w:r w:rsidRPr="00316A97">
        <w:rPr>
          <w:i/>
          <w:iCs/>
          <w:noProof/>
          <w:sz w:val="22"/>
          <w:szCs w:val="24"/>
        </w:rPr>
        <w:t>Determinants of Industrial Growth in South Asia: Evidence from Panel Data Analysis</w:t>
      </w:r>
      <w:r w:rsidRPr="00316A97">
        <w:rPr>
          <w:noProof/>
          <w:sz w:val="22"/>
          <w:szCs w:val="24"/>
        </w:rPr>
        <w:t>. 97–110.</w:t>
      </w:r>
    </w:p>
    <w:p w:rsidR="00316A97" w:rsidRPr="00316A97" w:rsidRDefault="00316A97" w:rsidP="00316A97">
      <w:pPr>
        <w:autoSpaceDE w:val="0"/>
        <w:autoSpaceDN w:val="0"/>
        <w:adjustRightInd w:val="0"/>
        <w:spacing w:line="360" w:lineRule="auto"/>
        <w:ind w:left="480" w:hanging="480"/>
        <w:rPr>
          <w:noProof/>
          <w:sz w:val="22"/>
          <w:szCs w:val="24"/>
        </w:rPr>
      </w:pPr>
      <w:r w:rsidRPr="00316A97">
        <w:rPr>
          <w:noProof/>
          <w:sz w:val="22"/>
          <w:szCs w:val="24"/>
        </w:rPr>
        <w:t xml:space="preserve">Guadagno, F. (2016). The determinants of industrialisation in developing countries, 1960‐2005. </w:t>
      </w:r>
      <w:r w:rsidRPr="00316A97">
        <w:rPr>
          <w:i/>
          <w:iCs/>
          <w:noProof/>
          <w:sz w:val="22"/>
          <w:szCs w:val="24"/>
        </w:rPr>
        <w:t>Accounting &amp; Finance</w:t>
      </w:r>
      <w:r w:rsidRPr="00316A97">
        <w:rPr>
          <w:noProof/>
          <w:sz w:val="22"/>
          <w:szCs w:val="24"/>
        </w:rPr>
        <w:t xml:space="preserve">, </w:t>
      </w:r>
      <w:r w:rsidRPr="00316A97">
        <w:rPr>
          <w:i/>
          <w:iCs/>
          <w:noProof/>
          <w:sz w:val="22"/>
          <w:szCs w:val="24"/>
        </w:rPr>
        <w:t>24</w:t>
      </w:r>
      <w:r w:rsidRPr="00316A97">
        <w:rPr>
          <w:noProof/>
          <w:sz w:val="22"/>
          <w:szCs w:val="24"/>
        </w:rPr>
        <w:t>(1), 75–75. https://doi.org/10.1111/j.1467-629x.1984.tb00054.x</w:t>
      </w:r>
    </w:p>
    <w:p w:rsidR="00316A97" w:rsidRPr="00316A97" w:rsidRDefault="00316A97" w:rsidP="00316A97">
      <w:pPr>
        <w:autoSpaceDE w:val="0"/>
        <w:autoSpaceDN w:val="0"/>
        <w:adjustRightInd w:val="0"/>
        <w:spacing w:line="360" w:lineRule="auto"/>
        <w:ind w:left="480" w:hanging="480"/>
        <w:rPr>
          <w:noProof/>
          <w:sz w:val="22"/>
          <w:szCs w:val="24"/>
        </w:rPr>
      </w:pPr>
      <w:r w:rsidRPr="00316A97">
        <w:rPr>
          <w:noProof/>
          <w:sz w:val="22"/>
          <w:szCs w:val="24"/>
        </w:rPr>
        <w:t xml:space="preserve">Lincolin Arsyad. (2010). </w:t>
      </w:r>
      <w:r w:rsidRPr="00316A97">
        <w:rPr>
          <w:i/>
          <w:iCs/>
          <w:noProof/>
          <w:sz w:val="22"/>
          <w:szCs w:val="24"/>
        </w:rPr>
        <w:t>Ekonomi Pembangunan</w:t>
      </w:r>
      <w:r w:rsidRPr="00316A97">
        <w:rPr>
          <w:noProof/>
          <w:sz w:val="22"/>
          <w:szCs w:val="24"/>
        </w:rPr>
        <w:t xml:space="preserve"> (Kelima). Yogyakarta: UPP STIM YKPN.</w:t>
      </w:r>
    </w:p>
    <w:p w:rsidR="00316A97" w:rsidRPr="00316A97" w:rsidRDefault="00316A97" w:rsidP="00316A97">
      <w:pPr>
        <w:autoSpaceDE w:val="0"/>
        <w:autoSpaceDN w:val="0"/>
        <w:adjustRightInd w:val="0"/>
        <w:spacing w:line="360" w:lineRule="auto"/>
        <w:ind w:left="480" w:hanging="480"/>
        <w:rPr>
          <w:noProof/>
          <w:sz w:val="22"/>
          <w:szCs w:val="24"/>
        </w:rPr>
      </w:pPr>
      <w:r w:rsidRPr="00316A97">
        <w:rPr>
          <w:noProof/>
          <w:sz w:val="22"/>
          <w:szCs w:val="24"/>
        </w:rPr>
        <w:t xml:space="preserve">Pujoalwanto, B. (2014). </w:t>
      </w:r>
      <w:r w:rsidRPr="00316A97">
        <w:rPr>
          <w:i/>
          <w:iCs/>
          <w:noProof/>
          <w:sz w:val="22"/>
          <w:szCs w:val="24"/>
        </w:rPr>
        <w:t>Perekonomian Indonesia</w:t>
      </w:r>
      <w:r w:rsidRPr="00316A97">
        <w:rPr>
          <w:noProof/>
          <w:sz w:val="22"/>
          <w:szCs w:val="24"/>
        </w:rPr>
        <w:t xml:space="preserve"> (Tinjauan H). Jakarta: Graha Ilmu.</w:t>
      </w:r>
    </w:p>
    <w:p w:rsidR="00316A97" w:rsidRPr="00316A97" w:rsidRDefault="00316A97" w:rsidP="00316A97">
      <w:pPr>
        <w:autoSpaceDE w:val="0"/>
        <w:autoSpaceDN w:val="0"/>
        <w:adjustRightInd w:val="0"/>
        <w:spacing w:line="360" w:lineRule="auto"/>
        <w:ind w:left="480" w:hanging="480"/>
        <w:rPr>
          <w:noProof/>
          <w:sz w:val="22"/>
        </w:rPr>
      </w:pPr>
      <w:r w:rsidRPr="00316A97">
        <w:rPr>
          <w:noProof/>
          <w:sz w:val="22"/>
          <w:szCs w:val="24"/>
        </w:rPr>
        <w:t xml:space="preserve">Samouel, B., Samouel, B., &amp; Aram, B. (2016). </w:t>
      </w:r>
      <w:r w:rsidRPr="00316A97">
        <w:rPr>
          <w:noProof/>
          <w:sz w:val="22"/>
          <w:szCs w:val="24"/>
        </w:rPr>
        <w:lastRenderedPageBreak/>
        <w:t xml:space="preserve">The Determinants Of Industrialization: Empirical Evidence For Africa. </w:t>
      </w:r>
      <w:r w:rsidRPr="00316A97">
        <w:rPr>
          <w:i/>
          <w:iCs/>
          <w:noProof/>
          <w:sz w:val="22"/>
          <w:szCs w:val="24"/>
        </w:rPr>
        <w:t>European Scientific Journal, ESJ</w:t>
      </w:r>
      <w:r w:rsidRPr="00316A97">
        <w:rPr>
          <w:noProof/>
          <w:sz w:val="22"/>
          <w:szCs w:val="24"/>
        </w:rPr>
        <w:t xml:space="preserve">, </w:t>
      </w:r>
      <w:r w:rsidRPr="00316A97">
        <w:rPr>
          <w:i/>
          <w:iCs/>
          <w:noProof/>
          <w:sz w:val="22"/>
          <w:szCs w:val="24"/>
        </w:rPr>
        <w:t>12</w:t>
      </w:r>
      <w:r w:rsidRPr="00316A97">
        <w:rPr>
          <w:noProof/>
          <w:sz w:val="22"/>
          <w:szCs w:val="24"/>
        </w:rPr>
        <w:t>(10), 219–239. https://doi.org/10.19044/esj.2016.v12n10p%p</w:t>
      </w:r>
    </w:p>
    <w:p w:rsidR="00B4217F" w:rsidRDefault="00622591" w:rsidP="00316A97">
      <w:pPr>
        <w:autoSpaceDE w:val="0"/>
        <w:autoSpaceDN w:val="0"/>
        <w:adjustRightInd w:val="0"/>
        <w:spacing w:line="360" w:lineRule="auto"/>
        <w:ind w:left="480" w:hanging="480"/>
      </w:pPr>
      <w:r>
        <w:fldChar w:fldCharType="end"/>
      </w:r>
    </w:p>
    <w:p w:rsidR="00B4217F" w:rsidRDefault="00B4217F" w:rsidP="00A12FA3">
      <w:pPr>
        <w:pStyle w:val="Heading1"/>
      </w:pPr>
    </w:p>
    <w:p w:rsidR="00B4217F" w:rsidRDefault="00B4217F" w:rsidP="00A12FA3">
      <w:pPr>
        <w:pStyle w:val="Heading1"/>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58E" w:rsidRDefault="004E458E" w:rsidP="00DF7A7D">
      <w:r>
        <w:separator/>
      </w:r>
    </w:p>
  </w:endnote>
  <w:endnote w:type="continuationSeparator" w:id="1">
    <w:p w:rsidR="004E458E" w:rsidRDefault="004E458E" w:rsidP="00DF7A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B2" w:rsidRPr="00013D23" w:rsidRDefault="00034AB2" w:rsidP="00013D23">
    <w:pPr>
      <w:pStyle w:val="Header"/>
      <w:tabs>
        <w:tab w:val="clear" w:pos="4513"/>
        <w:tab w:val="clear" w:pos="9026"/>
      </w:tabs>
      <w:ind w:firstLine="0"/>
      <w:jc w:val="center"/>
      <w:rPr>
        <w:rFonts w:asciiTheme="majorHAnsi" w:hAnsiTheme="majorHAnsi"/>
        <w:color w:val="1F497D" w:themeColor="text2"/>
        <w:sz w:val="24"/>
        <w:szCs w:val="24"/>
      </w:rPr>
    </w:pPr>
    <w:r w:rsidRPr="00622591">
      <w:rPr>
        <w:noProof/>
        <w:lang w:eastAsia="en-US"/>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A24D0">
          <w:rPr>
            <w:rFonts w:asciiTheme="majorHAnsi" w:hAnsiTheme="majorHAnsi"/>
            <w:noProof/>
            <w:sz w:val="24"/>
            <w:szCs w:val="24"/>
          </w:rPr>
          <w:t>108</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rsidR="00034AB2" w:rsidRDefault="00034AB2"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rsidR="00034AB2" w:rsidRPr="00922FF2" w:rsidRDefault="00034AB2" w:rsidP="00AE69FF">
        <w:pPr>
          <w:pStyle w:val="Header"/>
          <w:tabs>
            <w:tab w:val="clear" w:pos="9026"/>
          </w:tabs>
          <w:ind w:firstLine="0"/>
          <w:rPr>
            <w:rFonts w:asciiTheme="majorHAnsi" w:hAnsiTheme="majorHAnsi"/>
            <w:color w:val="1F497D" w:themeColor="text2"/>
            <w:sz w:val="24"/>
            <w:szCs w:val="24"/>
          </w:rPr>
        </w:pPr>
        <w:r w:rsidRPr="00622591">
          <w:rPr>
            <w:noProof/>
            <w:sz w:val="18"/>
            <w:szCs w:val="18"/>
            <w:lang w:eastAsia="en-US"/>
          </w:rPr>
          <w:pict>
            <v:line id="Straight Connector 5" o:spid="_x0000_s4099" style="position:absolute;left:0;text-align:left;z-index:251662336;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rsidR="00034AB2" w:rsidRPr="003430A1" w:rsidRDefault="00034AB2"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sidRPr="00EB23FD">
      <w:rPr>
        <w:noProof/>
        <w:sz w:val="18"/>
        <w:szCs w:val="18"/>
      </w:rPr>
      <w:t>&amp;</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4A24D0">
      <w:rPr>
        <w:rFonts w:asciiTheme="majorHAnsi" w:hAnsiTheme="majorHAnsi"/>
        <w:noProof/>
        <w:sz w:val="24"/>
        <w:szCs w:val="24"/>
      </w:rPr>
      <w:t>99</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rsidR="00034AB2" w:rsidRPr="00F355CE" w:rsidRDefault="00034AB2"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B2" w:rsidRPr="00922FF2" w:rsidRDefault="00034AB2" w:rsidP="00CD1670">
    <w:pPr>
      <w:pStyle w:val="Header"/>
      <w:tabs>
        <w:tab w:val="clear" w:pos="9026"/>
      </w:tabs>
      <w:ind w:firstLine="0"/>
      <w:rPr>
        <w:rFonts w:asciiTheme="majorHAnsi" w:hAnsiTheme="majorHAnsi"/>
        <w:color w:val="1F497D" w:themeColor="text2"/>
        <w:sz w:val="24"/>
        <w:szCs w:val="24"/>
      </w:rPr>
    </w:pPr>
    <w:r w:rsidRPr="00622591">
      <w:rPr>
        <w:noProof/>
        <w:sz w:val="18"/>
        <w:szCs w:val="18"/>
        <w:lang w:eastAsia="en-US"/>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Jusul Artikel ………………………</w:t>
    </w:r>
    <w:r>
      <w:rPr>
        <w:rFonts w:asciiTheme="majorHAnsi" w:hAnsiTheme="majorHAnsi"/>
        <w:color w:val="1F497D" w:themeColor="text2"/>
        <w:sz w:val="22"/>
        <w:szCs w:val="22"/>
        <w:lang w:val="id-ID"/>
      </w:rPr>
      <w:tab/>
    </w:r>
  </w:p>
  <w:p w:rsidR="00034AB2" w:rsidRPr="00EB23FD" w:rsidRDefault="00034AB2"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sidRPr="00AA2E84">
      <w:rPr>
        <w:noProof/>
        <w:sz w:val="18"/>
        <w:szCs w:val="18"/>
      </w:rPr>
      <w:t>&amp;</w:t>
    </w:r>
    <w:r>
      <w:rPr>
        <w:noProof/>
        <w:sz w:val="18"/>
        <w:szCs w:val="18"/>
      </w:rPr>
      <w:t>Penulis 2</w:t>
    </w:r>
    <w:r>
      <w:rPr>
        <w:noProof/>
        <w:sz w:val="18"/>
        <w:szCs w:val="18"/>
        <w:lang w:val="id-ID"/>
      </w:rPr>
      <w:t>,</w:t>
    </w:r>
    <w:r>
      <w:rPr>
        <w:noProof/>
        <w:sz w:val="18"/>
        <w:szCs w:val="18"/>
      </w:rPr>
      <w:t>tahun terbit</w:t>
    </w:r>
    <w:r w:rsidRPr="00AA2E84">
      <w:rPr>
        <w:noProof/>
        <w:sz w:val="18"/>
        <w:szCs w:val="18"/>
      </w:rPr>
      <w:t>)</w:t>
    </w:r>
    <w:r w:rsidRPr="00AA2E84">
      <w:rPr>
        <w:sz w:val="18"/>
        <w:szCs w:val="18"/>
      </w:rPr>
      <w:fldChar w:fldCharType="end"/>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4A24D0">
      <w:rPr>
        <w:rFonts w:asciiTheme="majorHAnsi" w:hAnsiTheme="majorHAnsi"/>
        <w:noProof/>
        <w:sz w:val="24"/>
        <w:szCs w:val="24"/>
      </w:rPr>
      <w:t>107</w:t>
    </w:r>
    <w:r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p w:rsidR="00034AB2" w:rsidRDefault="00034AB2"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58E" w:rsidRDefault="004E458E" w:rsidP="00DF7A7D">
      <w:r>
        <w:separator/>
      </w:r>
    </w:p>
  </w:footnote>
  <w:footnote w:type="continuationSeparator" w:id="1">
    <w:p w:rsidR="004E458E" w:rsidRDefault="004E458E"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B2" w:rsidRDefault="00034AB2" w:rsidP="00D47748">
    <w:pPr>
      <w:pStyle w:val="Header"/>
      <w:ind w:firstLine="0"/>
      <w:rPr>
        <w:rFonts w:asciiTheme="majorHAnsi" w:hAnsiTheme="majorHAnsi"/>
        <w:sz w:val="22"/>
        <w:szCs w:val="22"/>
        <w:lang w:val="id-ID"/>
      </w:rPr>
    </w:pPr>
    <w:r w:rsidRPr="00622591">
      <w:rPr>
        <w:noProof/>
        <w:lang w:eastAsia="en-US"/>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3">
            <w:txbxContent>
              <w:p w:rsidR="00034AB2" w:rsidRDefault="00034AB2"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rsidR="00034AB2" w:rsidRPr="00F355CE" w:rsidRDefault="00034AB2"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rsidR="00034AB2" w:rsidRDefault="00034AB2" w:rsidP="00980159">
                <w:pPr>
                  <w:pStyle w:val="Header"/>
                  <w:ind w:left="280" w:firstLine="0"/>
                  <w:rPr>
                    <w:rFonts w:asciiTheme="majorHAnsi" w:hAnsiTheme="majorHAnsi"/>
                    <w:i/>
                    <w:lang w:val="id-ID"/>
                  </w:rPr>
                </w:pPr>
              </w:p>
              <w:p w:rsidR="00034AB2" w:rsidRPr="00967E6B" w:rsidRDefault="00034AB2" w:rsidP="00980159">
                <w:pPr>
                  <w:pStyle w:val="Header"/>
                  <w:ind w:left="280" w:firstLine="0"/>
                  <w:rPr>
                    <w:rFonts w:asciiTheme="majorHAnsi" w:hAnsiTheme="majorHAnsi"/>
                    <w:i/>
                    <w:lang w:val="id-ID"/>
                  </w:rPr>
                </w:pPr>
              </w:p>
              <w:p w:rsidR="00034AB2" w:rsidRDefault="00034AB2" w:rsidP="00967E6B">
                <w:pPr>
                  <w:pStyle w:val="Header"/>
                </w:pPr>
              </w:p>
              <w:p w:rsidR="00034AB2" w:rsidRDefault="00034AB2" w:rsidP="00967E6B"/>
            </w:txbxContent>
          </v:textbox>
        </v:shape>
      </w:pict>
    </w:r>
  </w:p>
  <w:p w:rsidR="00034AB2" w:rsidRPr="00922FF2" w:rsidRDefault="00034AB2" w:rsidP="00D47748">
    <w:pPr>
      <w:pStyle w:val="Header"/>
      <w:ind w:firstLine="0"/>
      <w:rPr>
        <w:rFonts w:asciiTheme="majorHAnsi" w:hAnsiTheme="majorHAnsi"/>
        <w:b/>
        <w:color w:val="1F497D" w:themeColor="text2"/>
        <w:sz w:val="22"/>
        <w:szCs w:val="22"/>
        <w:lang w:val="id-ID"/>
      </w:rPr>
    </w:pPr>
  </w:p>
  <w:p w:rsidR="00034AB2" w:rsidRPr="00CF69D5" w:rsidRDefault="00034AB2">
    <w:pPr>
      <w:pStyle w:val="Header"/>
    </w:pPr>
    <w:r>
      <w:rPr>
        <w:noProof/>
        <w:lang w:eastAsia="en-US"/>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B2" w:rsidRDefault="00034AB2" w:rsidP="00EB23FD">
    <w:pPr>
      <w:pStyle w:val="Header"/>
      <w:jc w:val="right"/>
    </w:pPr>
  </w:p>
  <w:p w:rsidR="00034AB2" w:rsidRPr="009D74EB" w:rsidRDefault="00034AB2" w:rsidP="00EB23FD">
    <w:pPr>
      <w:pStyle w:val="Header"/>
    </w:pPr>
  </w:p>
  <w:p w:rsidR="00034AB2" w:rsidRPr="00013D23" w:rsidRDefault="00034AB2" w:rsidP="00EB23FD">
    <w:pPr>
      <w:jc w:val="right"/>
      <w:rPr>
        <w:lang w:val="id-ID"/>
      </w:rPr>
    </w:pPr>
    <w:r>
      <w:rPr>
        <w:noProof/>
        <w:lang w:eastAsia="en-US"/>
      </w:rPr>
      <w:pict>
        <v:line id="Straight Connector 15" o:spid="_x0000_s4101" style="position:absolute;left:0;text-align:left;z-index:251671552;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2548-9585</w:t>
    </w:r>
    <w:r>
      <w:rPr>
        <w:lang w:val="id-ID"/>
      </w:rPr>
      <w:t xml:space="preserve">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B2" w:rsidRDefault="00034AB2">
    <w:pPr>
      <w:pStyle w:val="Header"/>
      <w:jc w:val="right"/>
    </w:pPr>
  </w:p>
  <w:p w:rsidR="00034AB2" w:rsidRPr="009D74EB" w:rsidRDefault="00034AB2" w:rsidP="001B5D88">
    <w:pPr>
      <w:pStyle w:val="Header"/>
    </w:pPr>
  </w:p>
  <w:p w:rsidR="00034AB2" w:rsidRPr="00013D23" w:rsidRDefault="00034AB2" w:rsidP="00013D23">
    <w:pPr>
      <w:jc w:val="right"/>
      <w:rPr>
        <w:lang w:val="id-ID"/>
      </w:rPr>
    </w:pPr>
    <w:r>
      <w:rPr>
        <w:noProof/>
        <w:lang w:eastAsia="en-US"/>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2548-9585</w:t>
    </w:r>
    <w:r>
      <w:rPr>
        <w:lang w:val="id-ID"/>
      </w:rPr>
      <w:t>(Online)</w:t>
    </w:r>
  </w:p>
  <w:p w:rsidR="00034AB2" w:rsidRDefault="00034AB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FE62AD64"/>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14141C0"/>
    <w:multiLevelType w:val="multilevel"/>
    <w:tmpl w:val="E6C8478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2040971"/>
    <w:multiLevelType w:val="hybridMultilevel"/>
    <w:tmpl w:val="B19C53F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5F36162"/>
    <w:multiLevelType w:val="multilevel"/>
    <w:tmpl w:val="79DAFE82"/>
    <w:lvl w:ilvl="0">
      <w:start w:val="3"/>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nsid w:val="11E76C06"/>
    <w:multiLevelType w:val="hybridMultilevel"/>
    <w:tmpl w:val="CBF03252"/>
    <w:lvl w:ilvl="0" w:tplc="F648D4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53712AD"/>
    <w:multiLevelType w:val="hybridMultilevel"/>
    <w:tmpl w:val="369A26D0"/>
    <w:lvl w:ilvl="0" w:tplc="763A12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8CF2C35"/>
    <w:multiLevelType w:val="hybridMultilevel"/>
    <w:tmpl w:val="3DBCC80C"/>
    <w:lvl w:ilvl="0" w:tplc="14D0C67C">
      <w:start w:val="1"/>
      <w:numFmt w:val="upperLetter"/>
      <w:lvlText w:val="%1."/>
      <w:lvlJc w:val="left"/>
      <w:pPr>
        <w:ind w:left="1494" w:hanging="360"/>
      </w:pPr>
      <w:rPr>
        <w:rFonts w:hint="default"/>
      </w:r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9">
      <w:start w:val="1"/>
      <w:numFmt w:val="lowerLetter"/>
      <w:lvlText w:val="%5."/>
      <w:lvlJc w:val="left"/>
      <w:pPr>
        <w:ind w:left="4374" w:hanging="360"/>
      </w:pPr>
    </w:lvl>
    <w:lvl w:ilvl="5" w:tplc="0421001B">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4">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F3B6A8B"/>
    <w:multiLevelType w:val="hybridMultilevel"/>
    <w:tmpl w:val="34785E70"/>
    <w:lvl w:ilvl="0" w:tplc="5D4800D8">
      <w:start w:val="1"/>
      <w:numFmt w:val="decimal"/>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46503AFB"/>
    <w:multiLevelType w:val="multilevel"/>
    <w:tmpl w:val="E88CFD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1">
    <w:nsid w:val="513E7062"/>
    <w:multiLevelType w:val="hybridMultilevel"/>
    <w:tmpl w:val="1010A4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3">
    <w:nsid w:val="5C4F1547"/>
    <w:multiLevelType w:val="hybridMultilevel"/>
    <w:tmpl w:val="E1D2D0B8"/>
    <w:lvl w:ilvl="0" w:tplc="04090011">
      <w:start w:val="1"/>
      <w:numFmt w:val="decimal"/>
      <w:lvlText w:val="%1)"/>
      <w:lvlJc w:val="left"/>
      <w:pPr>
        <w:ind w:left="720" w:hanging="360"/>
      </w:pPr>
    </w:lvl>
    <w:lvl w:ilvl="1" w:tplc="CEE82A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5">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7">
    <w:nsid w:val="6E9F13F7"/>
    <w:multiLevelType w:val="hybridMultilevel"/>
    <w:tmpl w:val="856AC7D4"/>
    <w:lvl w:ilvl="0" w:tplc="652CB078">
      <w:start w:val="1"/>
      <w:numFmt w:val="decimal"/>
      <w:lvlText w:val="%1."/>
      <w:lvlJc w:val="left"/>
      <w:pPr>
        <w:ind w:left="1115" w:hanging="69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1B45208"/>
    <w:multiLevelType w:val="hybridMultilevel"/>
    <w:tmpl w:val="A66E6CBC"/>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0">
    <w:nsid w:val="72976D10"/>
    <w:multiLevelType w:val="hybridMultilevel"/>
    <w:tmpl w:val="87A0875C"/>
    <w:lvl w:ilvl="0" w:tplc="FA180EB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2">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9"/>
  </w:num>
  <w:num w:numId="3">
    <w:abstractNumId w:val="2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5"/>
  </w:num>
  <w:num w:numId="17">
    <w:abstractNumId w:val="14"/>
  </w:num>
  <w:num w:numId="18">
    <w:abstractNumId w:val="31"/>
  </w:num>
  <w:num w:numId="19">
    <w:abstractNumId w:val="26"/>
  </w:num>
  <w:num w:numId="20">
    <w:abstractNumId w:val="8"/>
  </w:num>
  <w:num w:numId="21">
    <w:abstractNumId w:val="29"/>
  </w:num>
  <w:num w:numId="22">
    <w:abstractNumId w:val="27"/>
  </w:num>
  <w:num w:numId="23">
    <w:abstractNumId w:val="0"/>
  </w:num>
  <w:num w:numId="24">
    <w:abstractNumId w:val="2"/>
  </w:num>
  <w:num w:numId="25">
    <w:abstractNumId w:val="13"/>
  </w:num>
  <w:num w:numId="26">
    <w:abstractNumId w:val="5"/>
  </w:num>
  <w:num w:numId="27">
    <w:abstractNumId w:val="16"/>
  </w:num>
  <w:num w:numId="28">
    <w:abstractNumId w:val="30"/>
  </w:num>
  <w:num w:numId="29">
    <w:abstractNumId w:val="23"/>
  </w:num>
  <w:num w:numId="30">
    <w:abstractNumId w:val="21"/>
  </w:num>
  <w:num w:numId="31">
    <w:abstractNumId w:val="4"/>
  </w:num>
  <w:num w:numId="32">
    <w:abstractNumId w:val="18"/>
  </w:num>
  <w:num w:numId="33">
    <w:abstractNumId w:val="7"/>
  </w:num>
  <w:num w:numId="34">
    <w:abstractNumId w:val="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defaultTabStop w:val="720"/>
  <w:evenAndOddHeaders/>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FB2305"/>
    <w:rsid w:val="00007D53"/>
    <w:rsid w:val="00012DF2"/>
    <w:rsid w:val="00013D23"/>
    <w:rsid w:val="0001474C"/>
    <w:rsid w:val="00025520"/>
    <w:rsid w:val="00033DCE"/>
    <w:rsid w:val="000348FC"/>
    <w:rsid w:val="00034AB2"/>
    <w:rsid w:val="00040DFC"/>
    <w:rsid w:val="0004348D"/>
    <w:rsid w:val="0005552D"/>
    <w:rsid w:val="00065479"/>
    <w:rsid w:val="00070631"/>
    <w:rsid w:val="00070797"/>
    <w:rsid w:val="000746F4"/>
    <w:rsid w:val="00075496"/>
    <w:rsid w:val="00080898"/>
    <w:rsid w:val="000A536E"/>
    <w:rsid w:val="000A70D8"/>
    <w:rsid w:val="000B3952"/>
    <w:rsid w:val="000B6AE0"/>
    <w:rsid w:val="000B6E4A"/>
    <w:rsid w:val="000C0160"/>
    <w:rsid w:val="000D1209"/>
    <w:rsid w:val="000D211C"/>
    <w:rsid w:val="000D5260"/>
    <w:rsid w:val="000E100A"/>
    <w:rsid w:val="000E3ACA"/>
    <w:rsid w:val="000E4959"/>
    <w:rsid w:val="00112C05"/>
    <w:rsid w:val="0011539D"/>
    <w:rsid w:val="00115748"/>
    <w:rsid w:val="00117838"/>
    <w:rsid w:val="001218A8"/>
    <w:rsid w:val="00134306"/>
    <w:rsid w:val="00134EA2"/>
    <w:rsid w:val="00142623"/>
    <w:rsid w:val="00145AA8"/>
    <w:rsid w:val="00151FC0"/>
    <w:rsid w:val="0015487F"/>
    <w:rsid w:val="00162668"/>
    <w:rsid w:val="0016391D"/>
    <w:rsid w:val="001665A8"/>
    <w:rsid w:val="00166755"/>
    <w:rsid w:val="0016682E"/>
    <w:rsid w:val="001831C2"/>
    <w:rsid w:val="00190EFA"/>
    <w:rsid w:val="0019378C"/>
    <w:rsid w:val="001A1AF3"/>
    <w:rsid w:val="001A269C"/>
    <w:rsid w:val="001A3931"/>
    <w:rsid w:val="001A3E7F"/>
    <w:rsid w:val="001B1B3A"/>
    <w:rsid w:val="001B3F7D"/>
    <w:rsid w:val="001B57CA"/>
    <w:rsid w:val="001B5D88"/>
    <w:rsid w:val="001B6C22"/>
    <w:rsid w:val="001C3920"/>
    <w:rsid w:val="001C45C4"/>
    <w:rsid w:val="001D18AC"/>
    <w:rsid w:val="001D3931"/>
    <w:rsid w:val="001E239C"/>
    <w:rsid w:val="001E27E7"/>
    <w:rsid w:val="001E3495"/>
    <w:rsid w:val="001F6787"/>
    <w:rsid w:val="00201209"/>
    <w:rsid w:val="002100BA"/>
    <w:rsid w:val="00216BA7"/>
    <w:rsid w:val="00221A11"/>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16A97"/>
    <w:rsid w:val="0032165E"/>
    <w:rsid w:val="00337088"/>
    <w:rsid w:val="003430A1"/>
    <w:rsid w:val="003477A5"/>
    <w:rsid w:val="0037464E"/>
    <w:rsid w:val="00381628"/>
    <w:rsid w:val="00392324"/>
    <w:rsid w:val="003A7240"/>
    <w:rsid w:val="003B0319"/>
    <w:rsid w:val="003B24BB"/>
    <w:rsid w:val="003B64F8"/>
    <w:rsid w:val="003B6F74"/>
    <w:rsid w:val="003C1AB2"/>
    <w:rsid w:val="003E5826"/>
    <w:rsid w:val="003E6565"/>
    <w:rsid w:val="003F0F5E"/>
    <w:rsid w:val="00402C0C"/>
    <w:rsid w:val="00402CF8"/>
    <w:rsid w:val="00410DE2"/>
    <w:rsid w:val="00414F2B"/>
    <w:rsid w:val="0041789B"/>
    <w:rsid w:val="00443DB6"/>
    <w:rsid w:val="0046371C"/>
    <w:rsid w:val="00464CF1"/>
    <w:rsid w:val="00466D5B"/>
    <w:rsid w:val="004A1104"/>
    <w:rsid w:val="004A24D0"/>
    <w:rsid w:val="004A4C36"/>
    <w:rsid w:val="004A64FD"/>
    <w:rsid w:val="004C0210"/>
    <w:rsid w:val="004C3942"/>
    <w:rsid w:val="004D5FB8"/>
    <w:rsid w:val="004D6819"/>
    <w:rsid w:val="004E1238"/>
    <w:rsid w:val="004E458E"/>
    <w:rsid w:val="004F66A4"/>
    <w:rsid w:val="00503F8C"/>
    <w:rsid w:val="005107F0"/>
    <w:rsid w:val="005366CF"/>
    <w:rsid w:val="00544365"/>
    <w:rsid w:val="005509D8"/>
    <w:rsid w:val="00550CA8"/>
    <w:rsid w:val="005643A1"/>
    <w:rsid w:val="005770CD"/>
    <w:rsid w:val="0058790D"/>
    <w:rsid w:val="005953E6"/>
    <w:rsid w:val="0059750A"/>
    <w:rsid w:val="005B207D"/>
    <w:rsid w:val="005B7509"/>
    <w:rsid w:val="005E6408"/>
    <w:rsid w:val="005E6AC0"/>
    <w:rsid w:val="00607A6E"/>
    <w:rsid w:val="00620DD6"/>
    <w:rsid w:val="00621EA3"/>
    <w:rsid w:val="00622591"/>
    <w:rsid w:val="00643F21"/>
    <w:rsid w:val="00654367"/>
    <w:rsid w:val="006607A0"/>
    <w:rsid w:val="00665DA7"/>
    <w:rsid w:val="00695422"/>
    <w:rsid w:val="006A4060"/>
    <w:rsid w:val="006B1797"/>
    <w:rsid w:val="006B666C"/>
    <w:rsid w:val="006B786D"/>
    <w:rsid w:val="006C08FF"/>
    <w:rsid w:val="006D5061"/>
    <w:rsid w:val="006E135F"/>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6FFD"/>
    <w:rsid w:val="007D778F"/>
    <w:rsid w:val="007F1ED5"/>
    <w:rsid w:val="008003B8"/>
    <w:rsid w:val="00816C84"/>
    <w:rsid w:val="00827261"/>
    <w:rsid w:val="00830E0D"/>
    <w:rsid w:val="00835989"/>
    <w:rsid w:val="00854B1E"/>
    <w:rsid w:val="008755A3"/>
    <w:rsid w:val="00887158"/>
    <w:rsid w:val="00887DC3"/>
    <w:rsid w:val="0089200A"/>
    <w:rsid w:val="00892042"/>
    <w:rsid w:val="00897887"/>
    <w:rsid w:val="008A4591"/>
    <w:rsid w:val="008A5D68"/>
    <w:rsid w:val="008B3A08"/>
    <w:rsid w:val="008B6C71"/>
    <w:rsid w:val="008B7192"/>
    <w:rsid w:val="008B7346"/>
    <w:rsid w:val="008D11FA"/>
    <w:rsid w:val="008D2D90"/>
    <w:rsid w:val="008D33E0"/>
    <w:rsid w:val="008D4C44"/>
    <w:rsid w:val="008D7812"/>
    <w:rsid w:val="008E0206"/>
    <w:rsid w:val="008E3587"/>
    <w:rsid w:val="008E7DD0"/>
    <w:rsid w:val="008F784D"/>
    <w:rsid w:val="009001BA"/>
    <w:rsid w:val="009110DD"/>
    <w:rsid w:val="00922FF2"/>
    <w:rsid w:val="009272B3"/>
    <w:rsid w:val="009304E8"/>
    <w:rsid w:val="00931006"/>
    <w:rsid w:val="00953BF5"/>
    <w:rsid w:val="009559C1"/>
    <w:rsid w:val="00967E6B"/>
    <w:rsid w:val="00980159"/>
    <w:rsid w:val="0098350D"/>
    <w:rsid w:val="009838A5"/>
    <w:rsid w:val="00983B8D"/>
    <w:rsid w:val="009A13EA"/>
    <w:rsid w:val="009A4781"/>
    <w:rsid w:val="009A4CFE"/>
    <w:rsid w:val="009B3722"/>
    <w:rsid w:val="009E1331"/>
    <w:rsid w:val="009E256C"/>
    <w:rsid w:val="009E281C"/>
    <w:rsid w:val="00A12FA3"/>
    <w:rsid w:val="00A16165"/>
    <w:rsid w:val="00A210AC"/>
    <w:rsid w:val="00A27AFA"/>
    <w:rsid w:val="00A327F7"/>
    <w:rsid w:val="00A47D19"/>
    <w:rsid w:val="00A52874"/>
    <w:rsid w:val="00A65FF2"/>
    <w:rsid w:val="00A735A8"/>
    <w:rsid w:val="00A8551B"/>
    <w:rsid w:val="00A86316"/>
    <w:rsid w:val="00A9216D"/>
    <w:rsid w:val="00AA26B8"/>
    <w:rsid w:val="00AA2E84"/>
    <w:rsid w:val="00AB0724"/>
    <w:rsid w:val="00AB458F"/>
    <w:rsid w:val="00AB70B4"/>
    <w:rsid w:val="00AC4D63"/>
    <w:rsid w:val="00AC78BC"/>
    <w:rsid w:val="00AE69FF"/>
    <w:rsid w:val="00AF14BD"/>
    <w:rsid w:val="00AF3464"/>
    <w:rsid w:val="00AF6F23"/>
    <w:rsid w:val="00AF70F2"/>
    <w:rsid w:val="00B1320A"/>
    <w:rsid w:val="00B13C5D"/>
    <w:rsid w:val="00B20011"/>
    <w:rsid w:val="00B229D3"/>
    <w:rsid w:val="00B273A1"/>
    <w:rsid w:val="00B4217F"/>
    <w:rsid w:val="00B502B4"/>
    <w:rsid w:val="00B61A21"/>
    <w:rsid w:val="00B63ADD"/>
    <w:rsid w:val="00B64224"/>
    <w:rsid w:val="00B65F58"/>
    <w:rsid w:val="00B67EBC"/>
    <w:rsid w:val="00B76CC1"/>
    <w:rsid w:val="00B7745B"/>
    <w:rsid w:val="00B806BB"/>
    <w:rsid w:val="00B81C5F"/>
    <w:rsid w:val="00B81EF9"/>
    <w:rsid w:val="00B959A5"/>
    <w:rsid w:val="00B96728"/>
    <w:rsid w:val="00BA208F"/>
    <w:rsid w:val="00BB1981"/>
    <w:rsid w:val="00BB2084"/>
    <w:rsid w:val="00BC3B9A"/>
    <w:rsid w:val="00BD0A9F"/>
    <w:rsid w:val="00BD2967"/>
    <w:rsid w:val="00BD3D0A"/>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2D95"/>
    <w:rsid w:val="00C62D2C"/>
    <w:rsid w:val="00C75682"/>
    <w:rsid w:val="00C965B3"/>
    <w:rsid w:val="00CA0AD1"/>
    <w:rsid w:val="00CA78EB"/>
    <w:rsid w:val="00CC24A9"/>
    <w:rsid w:val="00CC64B8"/>
    <w:rsid w:val="00CD1670"/>
    <w:rsid w:val="00CD3D77"/>
    <w:rsid w:val="00CD40E6"/>
    <w:rsid w:val="00CE4260"/>
    <w:rsid w:val="00CF33F4"/>
    <w:rsid w:val="00CF69D5"/>
    <w:rsid w:val="00D00B7D"/>
    <w:rsid w:val="00D012AB"/>
    <w:rsid w:val="00D11B5D"/>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D7BD7"/>
    <w:rsid w:val="00DE7DAA"/>
    <w:rsid w:val="00DF7A7D"/>
    <w:rsid w:val="00E079AD"/>
    <w:rsid w:val="00E10D6A"/>
    <w:rsid w:val="00E30C47"/>
    <w:rsid w:val="00E332DF"/>
    <w:rsid w:val="00E41C58"/>
    <w:rsid w:val="00E47DE3"/>
    <w:rsid w:val="00E5123A"/>
    <w:rsid w:val="00E56840"/>
    <w:rsid w:val="00E5727A"/>
    <w:rsid w:val="00E57E69"/>
    <w:rsid w:val="00E618AE"/>
    <w:rsid w:val="00E71FEF"/>
    <w:rsid w:val="00E73F89"/>
    <w:rsid w:val="00E85296"/>
    <w:rsid w:val="00EA0629"/>
    <w:rsid w:val="00EA2FA7"/>
    <w:rsid w:val="00EB23FD"/>
    <w:rsid w:val="00EB44DC"/>
    <w:rsid w:val="00EC0250"/>
    <w:rsid w:val="00EC4D77"/>
    <w:rsid w:val="00EC66D7"/>
    <w:rsid w:val="00F012F8"/>
    <w:rsid w:val="00F05E2B"/>
    <w:rsid w:val="00F0737E"/>
    <w:rsid w:val="00F115C3"/>
    <w:rsid w:val="00F120EE"/>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76B37"/>
    <w:rsid w:val="00F961EC"/>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uhapis.tetty@gmail.com1"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E:\USULAN%20PENELITIAN%20DAN%20PENGABDIAN\INDUSTRI\PROPOSAL\gambar%20fenomen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sz="800"/>
            </a:pPr>
            <a:r>
              <a:rPr lang="en-US" sz="800"/>
              <a:t>Gambar 1.1</a:t>
            </a:r>
            <a:r>
              <a:rPr lang="en-US" sz="800" baseline="0"/>
              <a:t> </a:t>
            </a:r>
            <a:r>
              <a:rPr lang="en-US" sz="800"/>
              <a:t>PERTUMBUHAN INDUSTRI </a:t>
            </a:r>
          </a:p>
          <a:p>
            <a:pPr>
              <a:defRPr sz="800"/>
            </a:pPr>
            <a:r>
              <a:rPr lang="en-US" sz="800"/>
              <a:t>SUMATERA UTARA 2013-2015</a:t>
            </a:r>
          </a:p>
        </c:rich>
      </c:tx>
      <c:layout>
        <c:manualLayout>
          <c:xMode val="edge"/>
          <c:yMode val="edge"/>
          <c:x val="0.34771468144044343"/>
          <c:y val="3.1679205528789327E-2"/>
        </c:manualLayout>
      </c:layout>
    </c:title>
    <c:view3D>
      <c:perspective val="30"/>
    </c:view3D>
    <c:plotArea>
      <c:layout>
        <c:manualLayout>
          <c:layoutTarget val="inner"/>
          <c:xMode val="edge"/>
          <c:yMode val="edge"/>
          <c:x val="1.3847933852156298E-3"/>
          <c:y val="0.17789653281674891"/>
          <c:w val="0.98741999022273685"/>
          <c:h val="0.6435711493510119"/>
        </c:manualLayout>
      </c:layout>
      <c:line3DChart>
        <c:grouping val="standard"/>
        <c:ser>
          <c:idx val="0"/>
          <c:order val="0"/>
          <c:tx>
            <c:strRef>
              <c:f>Sheet3!$B$1</c:f>
              <c:strCache>
                <c:ptCount val="1"/>
                <c:pt idx="0">
                  <c:v>2013</c:v>
                </c:pt>
              </c:strCache>
            </c:strRef>
          </c:tx>
          <c:dLbls>
            <c:dLbl>
              <c:idx val="0"/>
              <c:layout>
                <c:manualLayout>
                  <c:x val="-8.1977094635322517E-2"/>
                  <c:y val="-4.0526849037487336E-2"/>
                </c:manualLayout>
              </c:layout>
              <c:showVal val="1"/>
            </c:dLbl>
            <c:dLbl>
              <c:idx val="1"/>
              <c:layout>
                <c:manualLayout>
                  <c:x val="4.8221820373719046E-3"/>
                  <c:y val="-4.8632218844984892E-2"/>
                </c:manualLayout>
              </c:layout>
              <c:showVal val="1"/>
            </c:dLbl>
            <c:dLbl>
              <c:idx val="2"/>
              <c:layout>
                <c:manualLayout>
                  <c:x val="-2.1699819168173901E-2"/>
                  <c:y val="3.2421479229990072E-2"/>
                </c:manualLayout>
              </c:layout>
              <c:showVal val="1"/>
            </c:dLbl>
            <c:txPr>
              <a:bodyPr/>
              <a:lstStyle/>
              <a:p>
                <a:pPr>
                  <a:defRPr sz="800">
                    <a:latin typeface="+mn-lt"/>
                  </a:defRPr>
                </a:pPr>
                <a:endParaRPr lang="en-US"/>
              </a:p>
            </c:txPr>
            <c:showVal val="1"/>
          </c:dLbls>
          <c:cat>
            <c:strRef>
              <c:f>Sheet3!$A$2:$A$5</c:f>
              <c:strCache>
                <c:ptCount val="4"/>
                <c:pt idx="0">
                  <c:v>Jumlah Penduduk</c:v>
                </c:pt>
                <c:pt idx="1">
                  <c:v>Tingkat Pengangguran Terbuka </c:v>
                </c:pt>
                <c:pt idx="2">
                  <c:v>Jumlah Industri</c:v>
                </c:pt>
                <c:pt idx="3">
                  <c:v>PDRB</c:v>
                </c:pt>
              </c:strCache>
            </c:strRef>
          </c:cat>
          <c:val>
            <c:numRef>
              <c:f>Sheet3!$B$2:$B$5</c:f>
              <c:numCache>
                <c:formatCode>_(* #,##0.00_);_(* \(#,##0.00\);_(* "-"??_);_(@_)</c:formatCode>
                <c:ptCount val="4"/>
                <c:pt idx="0" formatCode="_(* #,##0_);_(* \(#,##0\);_(* &quot;-&quot;_);_(@_)">
                  <c:v>13326307</c:v>
                </c:pt>
                <c:pt idx="1">
                  <c:v>6.53</c:v>
                </c:pt>
                <c:pt idx="2" formatCode="_(* #,##0_);_(* \(#,##0\);_(* &quot;-&quot;_);_(@_)">
                  <c:v>1006</c:v>
                </c:pt>
                <c:pt idx="3" formatCode="_(* #,##0_);_(* \(#,##0\);_(* &quot;-&quot;_);_(@_)">
                  <c:v>10488190</c:v>
                </c:pt>
              </c:numCache>
            </c:numRef>
          </c:val>
        </c:ser>
        <c:ser>
          <c:idx val="1"/>
          <c:order val="1"/>
          <c:tx>
            <c:strRef>
              <c:f>Sheet3!$C$1</c:f>
              <c:strCache>
                <c:ptCount val="1"/>
                <c:pt idx="0">
                  <c:v>2014</c:v>
                </c:pt>
              </c:strCache>
            </c:strRef>
          </c:tx>
          <c:dLbls>
            <c:dLbl>
              <c:idx val="0"/>
              <c:layout>
                <c:manualLayout>
                  <c:x val="-8.9210367691380701E-2"/>
                  <c:y val="-3.64741641337386E-2"/>
                </c:manualLayout>
              </c:layout>
              <c:showVal val="1"/>
            </c:dLbl>
            <c:dLbl>
              <c:idx val="1"/>
              <c:layout>
                <c:manualLayout>
                  <c:x val="0"/>
                  <c:y val="-4.0526849037487336E-2"/>
                </c:manualLayout>
              </c:layout>
              <c:showVal val="1"/>
            </c:dLbl>
            <c:dLbl>
              <c:idx val="2"/>
              <c:layout>
                <c:manualLayout>
                  <c:x val="-2.8933092224231492E-2"/>
                  <c:y val="3.2421479229990072E-2"/>
                </c:manualLayout>
              </c:layout>
              <c:showVal val="1"/>
            </c:dLbl>
            <c:txPr>
              <a:bodyPr/>
              <a:lstStyle/>
              <a:p>
                <a:pPr>
                  <a:defRPr sz="800">
                    <a:latin typeface="+mn-lt"/>
                  </a:defRPr>
                </a:pPr>
                <a:endParaRPr lang="en-US"/>
              </a:p>
            </c:txPr>
            <c:showVal val="1"/>
          </c:dLbls>
          <c:cat>
            <c:strRef>
              <c:f>Sheet3!$A$2:$A$5</c:f>
              <c:strCache>
                <c:ptCount val="4"/>
                <c:pt idx="0">
                  <c:v>Jumlah Penduduk</c:v>
                </c:pt>
                <c:pt idx="1">
                  <c:v>Tingkat Pengangguran Terbuka </c:v>
                </c:pt>
                <c:pt idx="2">
                  <c:v>Jumlah Industri</c:v>
                </c:pt>
                <c:pt idx="3">
                  <c:v>PDRB</c:v>
                </c:pt>
              </c:strCache>
            </c:strRef>
          </c:cat>
          <c:val>
            <c:numRef>
              <c:f>Sheet3!$C$2:$C$5</c:f>
              <c:numCache>
                <c:formatCode>_(* #,##0.00_);_(* \(#,##0.00\);_(* "-"??_);_(@_)</c:formatCode>
                <c:ptCount val="4"/>
                <c:pt idx="0" formatCode="_(* #,##0_);_(* \(#,##0\);_(* &quot;-&quot;_);_(@_)">
                  <c:v>13766851</c:v>
                </c:pt>
                <c:pt idx="1">
                  <c:v>6.23</c:v>
                </c:pt>
                <c:pt idx="2" formatCode="_(* #,##0_);_(* \(#,##0\);_(* &quot;-&quot;_);_(@_)">
                  <c:v>1027</c:v>
                </c:pt>
                <c:pt idx="3" formatCode="_(* #,##0.00_);_(* \(#,##0.00\);_(* &quot;-&quot;_);_(@_)">
                  <c:v>30482590.52</c:v>
                </c:pt>
              </c:numCache>
            </c:numRef>
          </c:val>
        </c:ser>
        <c:ser>
          <c:idx val="2"/>
          <c:order val="2"/>
          <c:tx>
            <c:strRef>
              <c:f>Sheet3!$D$1</c:f>
              <c:strCache>
                <c:ptCount val="1"/>
                <c:pt idx="0">
                  <c:v>2015</c:v>
                </c:pt>
              </c:strCache>
            </c:strRef>
          </c:tx>
          <c:dLbls>
            <c:dLbl>
              <c:idx val="0"/>
              <c:layout>
                <c:manualLayout>
                  <c:x val="-9.8854731766124568E-2"/>
                  <c:y val="-3.2421479229990002E-2"/>
                </c:manualLayout>
              </c:layout>
              <c:showVal val="1"/>
            </c:dLbl>
            <c:dLbl>
              <c:idx val="1"/>
              <c:layout>
                <c:manualLayout>
                  <c:x val="2.4110910186859796E-3"/>
                  <c:y val="-4.0526849037487336E-2"/>
                </c:manualLayout>
              </c:layout>
              <c:showVal val="1"/>
            </c:dLbl>
            <c:dLbl>
              <c:idx val="2"/>
              <c:layout>
                <c:manualLayout>
                  <c:x val="-2.6522191055231983E-2"/>
                  <c:y val="-5.6737588652482324E-2"/>
                </c:manualLayout>
              </c:layout>
              <c:showVal val="1"/>
            </c:dLbl>
            <c:dLbl>
              <c:idx val="3"/>
              <c:layout>
                <c:manualLayout>
                  <c:x val="0"/>
                  <c:y val="-2.0044191919191941E-2"/>
                </c:manualLayout>
              </c:layout>
              <c:showVal val="1"/>
            </c:dLbl>
            <c:txPr>
              <a:bodyPr/>
              <a:lstStyle/>
              <a:p>
                <a:pPr>
                  <a:defRPr sz="800">
                    <a:latin typeface="+mn-lt"/>
                  </a:defRPr>
                </a:pPr>
                <a:endParaRPr lang="en-US"/>
              </a:p>
            </c:txPr>
            <c:showVal val="1"/>
          </c:dLbls>
          <c:cat>
            <c:strRef>
              <c:f>Sheet3!$A$2:$A$5</c:f>
              <c:strCache>
                <c:ptCount val="4"/>
                <c:pt idx="0">
                  <c:v>Jumlah Penduduk</c:v>
                </c:pt>
                <c:pt idx="1">
                  <c:v>Tingkat Pengangguran Terbuka </c:v>
                </c:pt>
                <c:pt idx="2">
                  <c:v>Jumlah Industri</c:v>
                </c:pt>
                <c:pt idx="3">
                  <c:v>PDRB</c:v>
                </c:pt>
              </c:strCache>
            </c:strRef>
          </c:cat>
          <c:val>
            <c:numRef>
              <c:f>Sheet3!$D$2:$D$5</c:f>
              <c:numCache>
                <c:formatCode>_(* #,##0.00_);_(* \(#,##0.00\);_(* "-"??_);_(@_)</c:formatCode>
                <c:ptCount val="4"/>
                <c:pt idx="0" formatCode="_(* #,##0_);_(* \(#,##0\);_(* &quot;-&quot;_);_(@_)">
                  <c:v>13937797</c:v>
                </c:pt>
                <c:pt idx="1">
                  <c:v>6.71</c:v>
                </c:pt>
                <c:pt idx="2" formatCode="_(* #,##0_);_(* \(#,##0\);_(* &quot;-&quot;_);_(@_)">
                  <c:v>960</c:v>
                </c:pt>
                <c:pt idx="3" formatCode="_(* #,##0.00_);_(* \(#,##0.00\);_(* &quot;-&quot;_);_(@_)">
                  <c:v>31637413.890000001</c:v>
                </c:pt>
              </c:numCache>
            </c:numRef>
          </c:val>
        </c:ser>
        <c:dLbls>
          <c:showVal val="1"/>
        </c:dLbls>
        <c:axId val="309242880"/>
        <c:axId val="252105472"/>
        <c:axId val="233876992"/>
      </c:line3DChart>
      <c:catAx>
        <c:axId val="309242880"/>
        <c:scaling>
          <c:orientation val="minMax"/>
        </c:scaling>
        <c:axPos val="b"/>
        <c:majorTickMark val="none"/>
        <c:tickLblPos val="nextTo"/>
        <c:txPr>
          <a:bodyPr/>
          <a:lstStyle/>
          <a:p>
            <a:pPr>
              <a:defRPr sz="800">
                <a:latin typeface="+mj-lt"/>
              </a:defRPr>
            </a:pPr>
            <a:endParaRPr lang="en-US"/>
          </a:p>
        </c:txPr>
        <c:crossAx val="252105472"/>
        <c:crosses val="autoZero"/>
        <c:auto val="1"/>
        <c:lblAlgn val="ctr"/>
        <c:lblOffset val="100"/>
      </c:catAx>
      <c:valAx>
        <c:axId val="252105472"/>
        <c:scaling>
          <c:orientation val="minMax"/>
        </c:scaling>
        <c:delete val="1"/>
        <c:axPos val="l"/>
        <c:numFmt formatCode="_(* #,##0_);_(* \(#,##0\);_(* &quot;-&quot;_);_(@_)" sourceLinked="1"/>
        <c:majorTickMark val="none"/>
        <c:tickLblPos val="nextTo"/>
        <c:crossAx val="309242880"/>
        <c:crosses val="autoZero"/>
        <c:crossBetween val="between"/>
      </c:valAx>
      <c:serAx>
        <c:axId val="233876992"/>
        <c:scaling>
          <c:orientation val="minMax"/>
        </c:scaling>
        <c:delete val="1"/>
        <c:axPos val="b"/>
        <c:tickLblPos val="nextTo"/>
        <c:crossAx val="252105472"/>
        <c:crosses val="autoZero"/>
      </c:serAx>
    </c:plotArea>
    <c:legend>
      <c:legendPos val="t"/>
      <c:layout>
        <c:manualLayout>
          <c:xMode val="edge"/>
          <c:yMode val="edge"/>
          <c:x val="0.37154646808389691"/>
          <c:y val="0.92117527862209159"/>
          <c:w val="0.27137342009464316"/>
          <c:h val="7.3284350094536113E-2"/>
        </c:manualLayout>
      </c:layout>
      <c:txPr>
        <a:bodyPr/>
        <a:lstStyle/>
        <a:p>
          <a:pPr>
            <a:defRPr sz="800"/>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EF489-5D9D-46EF-A68A-B69C3A44C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10</Pages>
  <Words>5518</Words>
  <Characters>31458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2018-10-09T15:34:00Z</cp:lastPrinted>
  <dcterms:created xsi:type="dcterms:W3CDTF">2019-10-23T05:07:00Z</dcterms:created>
  <dcterms:modified xsi:type="dcterms:W3CDTF">2019-10-23T11:23:00Z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b95edfe5-6010-3bd6-9fd4-baaddc820c10</vt:lpwstr>
  </property>
  <property fmtid="{D5CDD505-2E9C-101B-9397-08002B2CF9AE}" pid="24" name="Mendeley Citation Style_1">
    <vt:lpwstr>http://www.zotero.org/styles/apa</vt:lpwstr>
  </property>
</Properties>
</file>