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14:paraId="33A9D32B" w14:textId="77777777" w:rsidTr="00EA3D40">
        <w:trPr>
          <w:trHeight w:val="520"/>
        </w:trPr>
        <w:tc>
          <w:tcPr>
            <w:tcW w:w="812" w:type="dxa"/>
          </w:tcPr>
          <w:p w14:paraId="4EA25E18" w14:textId="4D255523" w:rsidR="00E61ADF" w:rsidRDefault="00F11E4B" w:rsidP="00966AD7">
            <w:pPr>
              <w:jc w:val="center"/>
              <w:rPr>
                <w:rStyle w:val="fontstyle01"/>
                <w:rFonts w:ascii="Palatino Linotype" w:hAnsi="Palatino Linotype"/>
                <w:color w:val="auto"/>
                <w:sz w:val="22"/>
                <w:szCs w:val="22"/>
              </w:rPr>
            </w:pPr>
            <w:r w:rsidRPr="000D41F4">
              <w:rPr>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867779" w:rsidRDefault="00DF273B" w:rsidP="00966AD7">
            <w:pPr>
              <w:ind w:left="-250"/>
              <w:jc w:val="center"/>
              <w:rPr>
                <w:rStyle w:val="fontstyle01"/>
                <w:rFonts w:ascii="Palatino Linotype" w:hAnsi="Palatino Linotype"/>
                <w:color w:val="auto"/>
                <w:sz w:val="28"/>
                <w:szCs w:val="28"/>
              </w:rPr>
            </w:pPr>
            <w:proofErr w:type="spellStart"/>
            <w:r w:rsidRPr="00867779">
              <w:rPr>
                <w:rStyle w:val="fontstyle01"/>
                <w:rFonts w:ascii="Palatino Linotype" w:hAnsi="Palatino Linotype"/>
                <w:color w:val="auto"/>
                <w:sz w:val="28"/>
                <w:szCs w:val="28"/>
              </w:rPr>
              <w:t>Jurnal</w:t>
            </w:r>
            <w:proofErr w:type="spellEnd"/>
            <w:r w:rsidR="00F11E4B">
              <w:rPr>
                <w:rStyle w:val="fontstyle01"/>
                <w:rFonts w:ascii="Palatino Linotype" w:hAnsi="Palatino Linotype"/>
                <w:color w:val="auto"/>
                <w:sz w:val="28"/>
                <w:szCs w:val="28"/>
              </w:rPr>
              <w:t xml:space="preserve"> </w:t>
            </w:r>
            <w:proofErr w:type="spellStart"/>
            <w:r w:rsidR="00F11E4B">
              <w:rPr>
                <w:rStyle w:val="fontstyle01"/>
                <w:rFonts w:ascii="Palatino Linotype" w:hAnsi="Palatino Linotype"/>
                <w:color w:val="auto"/>
                <w:sz w:val="28"/>
                <w:szCs w:val="28"/>
              </w:rPr>
              <w:t>Humaniora</w:t>
            </w:r>
            <w:proofErr w:type="spellEnd"/>
          </w:p>
          <w:p w14:paraId="1DE41A5E" w14:textId="0A7F1CA4" w:rsidR="00E61ADF" w:rsidRPr="003A2F87" w:rsidRDefault="00282075" w:rsidP="00966AD7">
            <w:pPr>
              <w:ind w:left="-211"/>
              <w:jc w:val="center"/>
              <w:rPr>
                <w:rStyle w:val="fontstyle01"/>
                <w:rFonts w:ascii="Palatino Linotype" w:hAnsi="Palatino Linotype"/>
                <w:color w:val="FF0000"/>
                <w:sz w:val="20"/>
                <w:szCs w:val="20"/>
              </w:rPr>
            </w:pPr>
            <w:r w:rsidRPr="00265382">
              <w:rPr>
                <w:rStyle w:val="fontstyle01"/>
                <w:rFonts w:ascii="Palatino Linotype" w:hAnsi="Palatino Linotype"/>
                <w:color w:val="auto"/>
                <w:sz w:val="22"/>
                <w:szCs w:val="22"/>
              </w:rPr>
              <w:t xml:space="preserve">Vol. </w:t>
            </w:r>
            <w:r w:rsidR="008E4466" w:rsidRPr="00265382">
              <w:rPr>
                <w:rStyle w:val="fontstyle01"/>
                <w:rFonts w:ascii="Palatino Linotype" w:hAnsi="Palatino Linotype"/>
                <w:color w:val="auto"/>
                <w:sz w:val="22"/>
                <w:szCs w:val="22"/>
              </w:rPr>
              <w:t>8</w:t>
            </w:r>
            <w:r w:rsidR="00DB1EC6" w:rsidRPr="00265382">
              <w:rPr>
                <w:rStyle w:val="fontstyle01"/>
                <w:rFonts w:ascii="Palatino Linotype" w:hAnsi="Palatino Linotype"/>
                <w:color w:val="auto"/>
                <w:sz w:val="22"/>
                <w:szCs w:val="22"/>
              </w:rPr>
              <w:t xml:space="preserve">, No. </w:t>
            </w:r>
            <w:r w:rsidR="00CE5B54">
              <w:rPr>
                <w:rStyle w:val="fontstyle01"/>
                <w:rFonts w:ascii="Palatino Linotype" w:hAnsi="Palatino Linotype"/>
                <w:color w:val="auto"/>
                <w:sz w:val="22"/>
                <w:szCs w:val="22"/>
              </w:rPr>
              <w:t>2</w:t>
            </w:r>
            <w:r w:rsidR="00DB1EC6" w:rsidRPr="00265382">
              <w:rPr>
                <w:rStyle w:val="fontstyle01"/>
                <w:rFonts w:ascii="Palatino Linotype" w:hAnsi="Palatino Linotype"/>
                <w:color w:val="auto"/>
                <w:sz w:val="22"/>
                <w:szCs w:val="22"/>
              </w:rPr>
              <w:t xml:space="preserve"> (202</w:t>
            </w:r>
            <w:r w:rsidR="008E4466" w:rsidRPr="00265382">
              <w:rPr>
                <w:rStyle w:val="fontstyle01"/>
                <w:rFonts w:ascii="Palatino Linotype" w:hAnsi="Palatino Linotype"/>
                <w:color w:val="auto"/>
                <w:sz w:val="22"/>
                <w:szCs w:val="22"/>
              </w:rPr>
              <w:t>4</w:t>
            </w:r>
            <w:r w:rsidR="00FC2057" w:rsidRPr="00265382">
              <w:rPr>
                <w:rStyle w:val="fontstyle01"/>
                <w:rFonts w:ascii="Palatino Linotype" w:hAnsi="Palatino Linotype"/>
                <w:color w:val="auto"/>
                <w:sz w:val="22"/>
                <w:szCs w:val="22"/>
              </w:rPr>
              <w:t xml:space="preserve">) pp. </w:t>
            </w:r>
            <w:r w:rsidR="00CE5B54">
              <w:rPr>
                <w:rStyle w:val="fontstyle01"/>
                <w:rFonts w:ascii="Palatino Linotype" w:hAnsi="Palatino Linotype"/>
                <w:color w:val="auto"/>
                <w:sz w:val="22"/>
                <w:szCs w:val="22"/>
              </w:rPr>
              <w:t>697 - 715</w:t>
            </w:r>
          </w:p>
        </w:tc>
        <w:tc>
          <w:tcPr>
            <w:tcW w:w="851" w:type="dxa"/>
          </w:tcPr>
          <w:p w14:paraId="52D4400B" w14:textId="7D87E06F" w:rsidR="00E61ADF" w:rsidRDefault="00E61ADF" w:rsidP="00966AD7">
            <w:pPr>
              <w:jc w:val="center"/>
              <w:rPr>
                <w:rStyle w:val="fontstyle01"/>
                <w:rFonts w:ascii="Palatino Linotype" w:hAnsi="Palatino Linotype"/>
                <w:color w:val="auto"/>
                <w:sz w:val="22"/>
                <w:szCs w:val="22"/>
              </w:rPr>
            </w:pPr>
          </w:p>
        </w:tc>
      </w:tr>
      <w:tr w:rsidR="00E61ADF" w14:paraId="6EA7FF17" w14:textId="77777777" w:rsidTr="00EA3D40">
        <w:trPr>
          <w:trHeight w:val="447"/>
        </w:trPr>
        <w:tc>
          <w:tcPr>
            <w:tcW w:w="9498" w:type="dxa"/>
            <w:gridSpan w:val="3"/>
            <w:tcBorders>
              <w:bottom w:val="single" w:sz="12" w:space="0" w:color="auto"/>
            </w:tcBorders>
          </w:tcPr>
          <w:p w14:paraId="0C94F0B0" w14:textId="35094D02" w:rsidR="00F11E4B" w:rsidRPr="00265382" w:rsidRDefault="00265382" w:rsidP="00F11E4B">
            <w:pPr>
              <w:jc w:val="center"/>
              <w:rPr>
                <w:rStyle w:val="fontstyle01"/>
                <w:rFonts w:ascii="Palatino Linotype" w:hAnsi="Palatino Linotype"/>
                <w:color w:val="000000" w:themeColor="text1"/>
                <w:sz w:val="21"/>
                <w:szCs w:val="21"/>
              </w:rPr>
            </w:pPr>
            <w:r w:rsidRPr="00265382">
              <w:rPr>
                <w:noProof/>
                <w:sz w:val="28"/>
                <w:szCs w:val="28"/>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0" w:history="1">
              <w:r w:rsidR="00C61E9C" w:rsidRPr="003D11CB">
                <w:rPr>
                  <w:rStyle w:val="Hyperlink"/>
                  <w:rFonts w:ascii="Palatino Linotype" w:hAnsi="Palatino Linotype" w:cs="Times New Roman"/>
                </w:rPr>
                <w:t>http://jurnal.abulyatama.ac.id/index.php/humaniora</w:t>
              </w:r>
            </w:hyperlink>
            <w:r w:rsidR="00C61E9C">
              <w:rPr>
                <w:rStyle w:val="fontstyle01"/>
                <w:rFonts w:ascii="Palatino Linotype" w:hAnsi="Palatino Linotype"/>
                <w:color w:val="000000" w:themeColor="text1"/>
                <w:sz w:val="22"/>
                <w:szCs w:val="22"/>
              </w:rPr>
              <w:t xml:space="preserve"> </w:t>
            </w:r>
          </w:p>
          <w:p w14:paraId="2A5DE1B1" w14:textId="0F3A2086" w:rsidR="00E61ADF" w:rsidRPr="00981770" w:rsidRDefault="00E61ADF" w:rsidP="00966AD7">
            <w:pPr>
              <w:jc w:val="center"/>
              <w:rPr>
                <w:rStyle w:val="fontstyle01"/>
                <w:rFonts w:ascii="Palatino Linotype" w:hAnsi="Palatino Linotype"/>
                <w:color w:val="auto"/>
                <w:sz w:val="18"/>
                <w:szCs w:val="18"/>
              </w:rPr>
            </w:pPr>
            <w:r w:rsidRPr="00265382">
              <w:rPr>
                <w:rStyle w:val="fontstyle01"/>
                <w:rFonts w:ascii="Palatino Linotype" w:hAnsi="Palatino Linotype"/>
                <w:color w:val="auto"/>
                <w:sz w:val="22"/>
                <w:szCs w:val="22"/>
              </w:rPr>
              <w:t>p-</w:t>
            </w:r>
            <w:r w:rsidR="00262AF6" w:rsidRPr="00265382">
              <w:rPr>
                <w:rStyle w:val="fontstyle01"/>
                <w:rFonts w:ascii="Palatino Linotype" w:hAnsi="Palatino Linotype"/>
                <w:color w:val="auto"/>
                <w:sz w:val="22"/>
                <w:szCs w:val="22"/>
              </w:rPr>
              <w:t>ISSN:</w:t>
            </w:r>
            <w:r w:rsidRPr="00265382">
              <w:rPr>
                <w:rStyle w:val="fontstyle01"/>
                <w:rFonts w:ascii="Palatino Linotype" w:hAnsi="Palatino Linotype"/>
                <w:color w:val="auto"/>
                <w:sz w:val="22"/>
                <w:szCs w:val="22"/>
              </w:rPr>
              <w:t xml:space="preserve"> 2</w:t>
            </w:r>
            <w:r w:rsidR="00F338FD" w:rsidRPr="00265382">
              <w:rPr>
                <w:rStyle w:val="fontstyle01"/>
                <w:rFonts w:ascii="Palatino Linotype" w:hAnsi="Palatino Linotype"/>
                <w:color w:val="auto"/>
                <w:sz w:val="22"/>
                <w:szCs w:val="22"/>
              </w:rPr>
              <w:t>684</w:t>
            </w:r>
            <w:r w:rsidRPr="00265382">
              <w:rPr>
                <w:rStyle w:val="fontstyle01"/>
                <w:rFonts w:ascii="Palatino Linotype" w:hAnsi="Palatino Linotype"/>
                <w:color w:val="auto"/>
                <w:sz w:val="22"/>
                <w:szCs w:val="22"/>
              </w:rPr>
              <w:t>-</w:t>
            </w:r>
            <w:r w:rsidR="00F338FD" w:rsidRPr="00265382">
              <w:rPr>
                <w:rStyle w:val="fontstyle01"/>
                <w:rFonts w:ascii="Palatino Linotype" w:hAnsi="Palatino Linotype"/>
                <w:color w:val="auto"/>
                <w:sz w:val="22"/>
                <w:szCs w:val="22"/>
              </w:rPr>
              <w:t>9275</w:t>
            </w:r>
            <w:r w:rsidRPr="00265382">
              <w:rPr>
                <w:rStyle w:val="fontstyle01"/>
                <w:rFonts w:ascii="Palatino Linotype" w:hAnsi="Palatino Linotype"/>
                <w:color w:val="auto"/>
                <w:sz w:val="22"/>
                <w:szCs w:val="22"/>
              </w:rPr>
              <w:tab/>
              <w:t>e-ISSN: 2</w:t>
            </w:r>
            <w:r w:rsidR="008E4466" w:rsidRPr="00265382">
              <w:rPr>
                <w:rStyle w:val="fontstyle01"/>
                <w:rFonts w:ascii="Palatino Linotype" w:hAnsi="Palatino Linotype"/>
                <w:color w:val="auto"/>
                <w:sz w:val="22"/>
                <w:szCs w:val="22"/>
              </w:rPr>
              <w:t>548-9585</w:t>
            </w:r>
          </w:p>
        </w:tc>
      </w:tr>
    </w:tbl>
    <w:p w14:paraId="3DF2139C" w14:textId="7862F4A2" w:rsidR="00981770" w:rsidRPr="00981770" w:rsidRDefault="00981770" w:rsidP="00966AD7">
      <w:pPr>
        <w:spacing w:after="0" w:line="240" w:lineRule="auto"/>
        <w:jc w:val="both"/>
        <w:rPr>
          <w:rStyle w:val="fontstyle01"/>
          <w:rFonts w:ascii="Palatino Linotype" w:hAnsi="Palatino Linotype"/>
          <w:color w:val="auto"/>
          <w:sz w:val="18"/>
          <w:szCs w:val="18"/>
        </w:rPr>
      </w:pPr>
    </w:p>
    <w:p w14:paraId="28E4B68C" w14:textId="43C689C7" w:rsidR="00F338FD" w:rsidRPr="005F6E0E" w:rsidRDefault="009265E2" w:rsidP="00966AD7">
      <w:pPr>
        <w:spacing w:after="0" w:line="240" w:lineRule="auto"/>
        <w:jc w:val="both"/>
        <w:rPr>
          <w:rStyle w:val="fontstyle01"/>
          <w:rFonts w:ascii="Palatino Linotype" w:hAnsi="Palatino Linotype" w:cstheme="minorBidi"/>
          <w:color w:val="auto"/>
          <w:sz w:val="26"/>
          <w:szCs w:val="26"/>
        </w:rPr>
      </w:pPr>
      <w:bookmarkStart w:id="0" w:name="_Hlk43966029"/>
      <w:r w:rsidRPr="009265E2">
        <w:rPr>
          <w:rFonts w:ascii="Palatino Linotype" w:hAnsi="Palatino Linotype"/>
          <w:b/>
          <w:bCs/>
          <w:sz w:val="26"/>
          <w:szCs w:val="26"/>
        </w:rPr>
        <w:t xml:space="preserve">ANALISIS PENGARUH TINGKAT PENGANGGURAN TERBUKA DAN TINGKAT PARTISIPASI ANGKATAN KERJA TERHADAP KEMISKINAN DI PROVINSI </w:t>
      </w:r>
      <w:proofErr w:type="gramStart"/>
      <w:r w:rsidRPr="009265E2">
        <w:rPr>
          <w:rFonts w:ascii="Palatino Linotype" w:hAnsi="Palatino Linotype"/>
          <w:b/>
          <w:bCs/>
          <w:sz w:val="26"/>
          <w:szCs w:val="26"/>
        </w:rPr>
        <w:t>ACEH  PERIODE</w:t>
      </w:r>
      <w:proofErr w:type="gramEnd"/>
      <w:r w:rsidRPr="009265E2">
        <w:rPr>
          <w:rFonts w:ascii="Palatino Linotype" w:hAnsi="Palatino Linotype"/>
          <w:b/>
          <w:bCs/>
          <w:sz w:val="26"/>
          <w:szCs w:val="26"/>
        </w:rPr>
        <w:t xml:space="preserve"> 2018-2024</w:t>
      </w:r>
      <w:r w:rsidR="00F338FD" w:rsidRPr="00F338FD">
        <w:rPr>
          <w:rFonts w:ascii="Palatino Linotype" w:hAnsi="Palatino Linotype"/>
          <w:b/>
          <w:bCs/>
          <w:sz w:val="26"/>
          <w:szCs w:val="26"/>
        </w:rPr>
        <w:t xml:space="preserve"> </w:t>
      </w:r>
    </w:p>
    <w:p w14:paraId="1C08E5C3" w14:textId="7F313D46" w:rsidR="002A523B" w:rsidRPr="00BC77D5" w:rsidRDefault="002A523B" w:rsidP="00B86E56">
      <w:pPr>
        <w:spacing w:after="0" w:line="240" w:lineRule="auto"/>
        <w:jc w:val="both"/>
        <w:rPr>
          <w:rStyle w:val="fontstyle01"/>
          <w:rFonts w:ascii="Palatino Linotype" w:hAnsi="Palatino Linotype"/>
          <w:bCs w:val="0"/>
          <w:color w:val="000000" w:themeColor="text1"/>
          <w:sz w:val="26"/>
          <w:szCs w:val="26"/>
        </w:rPr>
      </w:pPr>
    </w:p>
    <w:bookmarkEnd w:id="0"/>
    <w:p w14:paraId="73B39382" w14:textId="308AA4E9" w:rsidR="00855B8B" w:rsidRPr="00BC77D5" w:rsidRDefault="00320C3D" w:rsidP="00B86E56">
      <w:pPr>
        <w:spacing w:after="0" w:line="240" w:lineRule="auto"/>
        <w:jc w:val="both"/>
        <w:rPr>
          <w:rFonts w:ascii="Palatino Linotype" w:eastAsia="Palatino Linotype" w:hAnsi="Palatino Linotype" w:cs="Palatino Linotype"/>
          <w:b/>
          <w:color w:val="000000" w:themeColor="text1"/>
          <w:vertAlign w:val="superscript"/>
        </w:rPr>
      </w:pPr>
      <w:proofErr w:type="spellStart"/>
      <w:r w:rsidRPr="00320C3D">
        <w:rPr>
          <w:rFonts w:ascii="Palatino Linotype" w:eastAsia="Palatino Linotype" w:hAnsi="Palatino Linotype" w:cs="Palatino Linotype"/>
          <w:b/>
          <w:color w:val="000000" w:themeColor="text1"/>
        </w:rPr>
        <w:t>Sartika</w:t>
      </w:r>
      <w:proofErr w:type="spellEnd"/>
      <w:r w:rsidRPr="00320C3D">
        <w:rPr>
          <w:rFonts w:ascii="Palatino Linotype" w:eastAsia="Palatino Linotype" w:hAnsi="Palatino Linotype" w:cs="Palatino Linotype"/>
          <w:b/>
          <w:color w:val="000000" w:themeColor="text1"/>
        </w:rPr>
        <w:t xml:space="preserve"> Cibro</w:t>
      </w:r>
      <w:r>
        <w:rPr>
          <w:rFonts w:ascii="Palatino Linotype" w:eastAsia="Palatino Linotype" w:hAnsi="Palatino Linotype" w:cs="Palatino Linotype"/>
          <w:b/>
          <w:color w:val="000000" w:themeColor="text1"/>
          <w:vertAlign w:val="superscript"/>
        </w:rPr>
        <w:t>1</w:t>
      </w:r>
      <w:r w:rsidR="00244B84" w:rsidRPr="00244B84">
        <w:rPr>
          <w:rFonts w:ascii="Palatino Linotype" w:eastAsia="Palatino Linotype" w:hAnsi="Palatino Linotype" w:cs="Palatino Linotype"/>
          <w:b/>
          <w:color w:val="000000" w:themeColor="text1"/>
        </w:rPr>
        <w:t xml:space="preserve"> </w:t>
      </w:r>
      <w:r w:rsidR="00DC1019" w:rsidRPr="00DC1019">
        <w:rPr>
          <w:rFonts w:ascii="Palatino Linotype" w:eastAsia="Palatino Linotype" w:hAnsi="Palatino Linotype" w:cs="Palatino Linotype"/>
          <w:b/>
          <w:color w:val="000000" w:themeColor="text1"/>
        </w:rPr>
        <w:t>Yuliana</w:t>
      </w:r>
      <w:r w:rsidR="00244B84">
        <w:rPr>
          <w:rFonts w:ascii="Palatino Linotype" w:eastAsia="Palatino Linotype" w:hAnsi="Palatino Linotype" w:cs="Palatino Linotype"/>
          <w:b/>
          <w:color w:val="000000" w:themeColor="text1"/>
          <w:vertAlign w:val="superscript"/>
        </w:rPr>
        <w:t>2</w:t>
      </w:r>
      <w:r>
        <w:rPr>
          <w:rFonts w:ascii="Palatino Linotype" w:eastAsia="Palatino Linotype" w:hAnsi="Palatino Linotype" w:cs="Palatino Linotype"/>
          <w:b/>
          <w:color w:val="000000" w:themeColor="text1"/>
          <w:vertAlign w:val="superscript"/>
        </w:rPr>
        <w:t xml:space="preserve"> </w:t>
      </w:r>
      <w:r w:rsidR="00D82900" w:rsidRPr="00D82900">
        <w:rPr>
          <w:rFonts w:ascii="Palatino Linotype" w:eastAsia="Palatino Linotype" w:hAnsi="Palatino Linotype" w:cs="Palatino Linotype"/>
          <w:b/>
          <w:color w:val="000000" w:themeColor="text1"/>
        </w:rPr>
        <w:t>Isthafan Najmi</w:t>
      </w:r>
      <w:r w:rsidR="00244B84">
        <w:rPr>
          <w:rFonts w:ascii="Palatino Linotype" w:eastAsia="Palatino Linotype" w:hAnsi="Palatino Linotype" w:cs="Palatino Linotype"/>
          <w:b/>
          <w:color w:val="000000" w:themeColor="text1"/>
          <w:vertAlign w:val="superscript"/>
        </w:rPr>
        <w:t>3</w:t>
      </w:r>
    </w:p>
    <w:p w14:paraId="240D4D5A" w14:textId="241103FB" w:rsidR="00546371" w:rsidRPr="00BC3D48" w:rsidRDefault="007F6DF3" w:rsidP="00546371">
      <w:pPr>
        <w:spacing w:after="0" w:line="240" w:lineRule="auto"/>
        <w:rPr>
          <w:rFonts w:ascii="Palatino Linotype" w:hAnsi="Palatino Linotype" w:cs="Times New Roman"/>
          <w:sz w:val="21"/>
          <w:szCs w:val="21"/>
          <w:lang w:val="id-ID"/>
        </w:rPr>
      </w:pPr>
      <w:r w:rsidRPr="00BC3D48">
        <w:rPr>
          <w:rFonts w:ascii="Palatino Linotype" w:hAnsi="Palatino Linotype" w:cs="Times New Roman"/>
          <w:sz w:val="21"/>
          <w:szCs w:val="21"/>
          <w:vertAlign w:val="superscript"/>
          <w:lang w:val="id-ID"/>
        </w:rPr>
        <w:t>1</w:t>
      </w:r>
      <w:r w:rsidR="00546371" w:rsidRPr="00546371">
        <w:rPr>
          <w:rFonts w:ascii="Palatino Linotype" w:hAnsi="Palatino Linotype"/>
          <w:sz w:val="21"/>
          <w:szCs w:val="21"/>
        </w:rPr>
        <w:t>UNIVERSITAS ABULYATAMA</w:t>
      </w:r>
      <w:r w:rsidR="003414EF" w:rsidRPr="00BC3D48">
        <w:rPr>
          <w:rFonts w:ascii="Palatino Linotype" w:hAnsi="Palatino Linotype"/>
          <w:sz w:val="21"/>
          <w:szCs w:val="21"/>
          <w:lang w:val="id-ID"/>
        </w:rPr>
        <w:t>.</w:t>
      </w:r>
      <w:r w:rsidR="00546371" w:rsidRPr="00546371">
        <w:rPr>
          <w:rFonts w:ascii="Palatino Linotype" w:hAnsi="Palatino Linotype" w:cs="Times New Roman"/>
          <w:sz w:val="21"/>
          <w:szCs w:val="21"/>
          <w:vertAlign w:val="superscript"/>
          <w:lang w:val="id-ID"/>
        </w:rPr>
        <w:t xml:space="preserve"> </w:t>
      </w:r>
      <w:r w:rsidR="00546371">
        <w:rPr>
          <w:rFonts w:ascii="Palatino Linotype" w:hAnsi="Palatino Linotype" w:cs="Times New Roman"/>
          <w:sz w:val="21"/>
          <w:szCs w:val="21"/>
          <w:vertAlign w:val="superscript"/>
          <w:lang w:val="id-ID"/>
        </w:rPr>
        <w:t>2</w:t>
      </w:r>
      <w:r w:rsidR="00546371" w:rsidRPr="00546371">
        <w:rPr>
          <w:rFonts w:ascii="Palatino Linotype" w:hAnsi="Palatino Linotype"/>
          <w:sz w:val="21"/>
          <w:szCs w:val="21"/>
        </w:rPr>
        <w:t>UNIVERSITAS ABULYATAMA</w:t>
      </w:r>
      <w:r w:rsidR="00546371" w:rsidRPr="00BC3D48">
        <w:rPr>
          <w:rFonts w:ascii="Palatino Linotype" w:hAnsi="Palatino Linotype"/>
          <w:sz w:val="21"/>
          <w:szCs w:val="21"/>
          <w:lang w:val="id-ID"/>
        </w:rPr>
        <w:t>.</w:t>
      </w:r>
      <w:r w:rsidR="00546371" w:rsidRPr="00546371">
        <w:rPr>
          <w:rFonts w:ascii="Palatino Linotype" w:hAnsi="Palatino Linotype" w:cs="Times New Roman"/>
          <w:sz w:val="21"/>
          <w:szCs w:val="21"/>
          <w:vertAlign w:val="superscript"/>
          <w:lang w:val="id-ID"/>
        </w:rPr>
        <w:t xml:space="preserve"> </w:t>
      </w:r>
      <w:r w:rsidR="00546371">
        <w:rPr>
          <w:rFonts w:ascii="Palatino Linotype" w:hAnsi="Palatino Linotype" w:cs="Times New Roman"/>
          <w:sz w:val="21"/>
          <w:szCs w:val="21"/>
          <w:vertAlign w:val="superscript"/>
          <w:lang w:val="id-ID"/>
        </w:rPr>
        <w:t>3</w:t>
      </w:r>
      <w:r w:rsidR="00546371" w:rsidRPr="00546371">
        <w:rPr>
          <w:rFonts w:ascii="Palatino Linotype" w:hAnsi="Palatino Linotype"/>
          <w:sz w:val="21"/>
          <w:szCs w:val="21"/>
        </w:rPr>
        <w:t>UNIVERSITAS ABULYATAMA</w:t>
      </w:r>
      <w:r w:rsidR="00546371" w:rsidRPr="00BC3D48">
        <w:rPr>
          <w:rFonts w:ascii="Palatino Linotype" w:hAnsi="Palatino Linotype"/>
          <w:sz w:val="21"/>
          <w:szCs w:val="21"/>
          <w:lang w:val="id-ID"/>
        </w:rPr>
        <w:t>.</w:t>
      </w:r>
    </w:p>
    <w:p w14:paraId="2D70434B" w14:textId="4FE31CB8" w:rsidR="00981770" w:rsidRDefault="001E2266" w:rsidP="00966AD7">
      <w:pPr>
        <w:spacing w:after="0" w:line="240" w:lineRule="auto"/>
        <w:jc w:val="both"/>
        <w:rPr>
          <w:rFonts w:ascii="Palatino Linotype" w:hAnsi="Palatino Linotype" w:cs="Times New Roman"/>
          <w:sz w:val="20"/>
          <w:szCs w:val="20"/>
          <w:vertAlign w:val="superscript"/>
        </w:rPr>
      </w:pPr>
      <w:r w:rsidRPr="00D1193C">
        <w:rPr>
          <w:rFonts w:ascii="Palatino Linotype" w:hAnsi="Palatino Linotype" w:cs="Times New Roman"/>
          <w:noProof/>
          <w:sz w:val="20"/>
          <w:szCs w:val="20"/>
          <w:vertAlign w:val="superscript"/>
        </w:rPr>
        <w:drawing>
          <wp:anchor distT="0" distB="0" distL="114300" distR="114300" simplePos="0" relativeHeight="251665408" behindDoc="0" locked="0" layoutInCell="1" allowOverlap="1" wp14:anchorId="7E54AB72" wp14:editId="2DFE0963">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ADA33" w14:textId="3E7339C2" w:rsidR="00C61E9C" w:rsidRPr="00546371" w:rsidRDefault="00C61E9C" w:rsidP="00966AD7">
      <w:pPr>
        <w:spacing w:after="0" w:line="360" w:lineRule="auto"/>
        <w:ind w:left="284"/>
        <w:jc w:val="both"/>
        <w:rPr>
          <w:rFonts w:ascii="Palatino Linotype" w:hAnsi="Palatino Linotype" w:cs="Times New Roman"/>
          <w:color w:val="000000" w:themeColor="text1"/>
          <w:sz w:val="18"/>
          <w:szCs w:val="18"/>
          <w:lang w:val="en-GB"/>
        </w:rPr>
      </w:pPr>
    </w:p>
    <w:p w14:paraId="3671680C" w14:textId="3BD268A2" w:rsidR="00C07522" w:rsidRPr="00CE5B54" w:rsidRDefault="001E2266" w:rsidP="00C07522">
      <w:pPr>
        <w:spacing w:after="0" w:line="360" w:lineRule="auto"/>
        <w:ind w:left="284"/>
        <w:rPr>
          <w:rFonts w:ascii="Palatino Linotype" w:hAnsi="Palatino Linotype" w:cs="Times New Roman"/>
          <w:b/>
          <w:color w:val="000000" w:themeColor="text1"/>
          <w:sz w:val="18"/>
          <w:szCs w:val="18"/>
        </w:rPr>
      </w:pPr>
      <w:r w:rsidRPr="00CE5B54">
        <w:rPr>
          <w:rFonts w:ascii="Palatino Linotype" w:hAnsi="Palatino Linotype"/>
          <w:b/>
          <w:noProof/>
          <w:color w:val="000000" w:themeColor="text1"/>
          <w:sz w:val="18"/>
          <w:szCs w:val="20"/>
        </w:rPr>
        <w:drawing>
          <wp:anchor distT="0" distB="0" distL="114300" distR="114300" simplePos="0" relativeHeight="251667456" behindDoc="0" locked="0" layoutInCell="1" allowOverlap="1" wp14:anchorId="322EB710" wp14:editId="2907DEE0">
            <wp:simplePos x="0" y="0"/>
            <wp:positionH relativeFrom="column">
              <wp:posOffset>4445</wp:posOffset>
            </wp:positionH>
            <wp:positionV relativeFrom="paragraph">
              <wp:posOffset>3286</wp:posOffset>
            </wp:positionV>
            <wp:extent cx="160131" cy="160131"/>
            <wp:effectExtent l="0" t="0" r="0" b="0"/>
            <wp:wrapNone/>
            <wp:docPr id="5" name="Picture 5"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131" cy="160131"/>
                    </a:xfrm>
                    <a:prstGeom prst="rect">
                      <a:avLst/>
                    </a:prstGeom>
                    <a:noFill/>
                    <a:ln>
                      <a:noFill/>
                    </a:ln>
                  </pic:spPr>
                </pic:pic>
              </a:graphicData>
            </a:graphic>
            <wp14:sizeRelH relativeFrom="page">
              <wp14:pctWidth>0</wp14:pctWidth>
            </wp14:sizeRelH>
            <wp14:sizeRelV relativeFrom="page">
              <wp14:pctHeight>0</wp14:pctHeight>
            </wp14:sizeRelV>
          </wp:anchor>
        </w:drawing>
      </w:r>
      <w:r w:rsidR="000C7D0B" w:rsidRPr="00CE5B54">
        <w:rPr>
          <w:rFonts w:ascii="Palatino Linotype" w:hAnsi="Palatino Linotype" w:cs="Times New Roman"/>
          <w:b/>
          <w:color w:val="000000" w:themeColor="text1"/>
          <w:sz w:val="18"/>
          <w:szCs w:val="20"/>
        </w:rPr>
        <w:t xml:space="preserve"> </w:t>
      </w:r>
      <w:hyperlink r:id="rId13" w:history="1">
        <w:r w:rsidR="00CE5B54" w:rsidRPr="00CE5B54">
          <w:rPr>
            <w:rStyle w:val="Hyperlink"/>
            <w:rFonts w:ascii="Palatino Linotype" w:hAnsi="Palatino Linotype" w:cs="Open Sans"/>
            <w:b w:val="0"/>
            <w:sz w:val="18"/>
            <w:szCs w:val="18"/>
            <w:shd w:val="clear" w:color="auto" w:fill="FFFFFF"/>
          </w:rPr>
          <w:t>https://doi.org/10.30601/humaniora.v8i2.5967</w:t>
        </w:r>
      </w:hyperlink>
      <w:r w:rsidR="00CE5B54" w:rsidRPr="00CE5B54">
        <w:rPr>
          <w:rFonts w:ascii="Palatino Linotype" w:hAnsi="Palatino Linotype" w:cs="Open Sans"/>
          <w:b/>
          <w:color w:val="333333"/>
          <w:sz w:val="18"/>
          <w:szCs w:val="18"/>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5555DD" w:rsidRDefault="00AE0D83" w:rsidP="00966AD7">
            <w:pPr>
              <w:jc w:val="center"/>
              <w:rPr>
                <w:rFonts w:ascii="Palatino Linotype" w:hAnsi="Palatino Linotype" w:cs="Times New Roman"/>
                <w:b/>
                <w:sz w:val="18"/>
                <w:szCs w:val="18"/>
              </w:rPr>
            </w:pPr>
            <w:r>
              <w:rPr>
                <w:rFonts w:ascii="Palatino Linotype" w:hAnsi="Palatino Linotype" w:cs="Times New Roman"/>
                <w:b/>
                <w:sz w:val="18"/>
                <w:szCs w:val="18"/>
                <w:lang w:val="id-ID"/>
              </w:rPr>
              <w:t xml:space="preserve">Published by </w:t>
            </w:r>
            <w:r w:rsidR="00B52C98">
              <w:rPr>
                <w:rFonts w:ascii="Palatino Linotype" w:hAnsi="Palatino Linotype" w:cs="Times New Roman"/>
                <w:b/>
                <w:sz w:val="18"/>
                <w:szCs w:val="18"/>
                <w:lang w:val="id-ID"/>
              </w:rPr>
              <w:t>Universitas Abulyatama</w:t>
            </w:r>
          </w:p>
        </w:tc>
      </w:tr>
      <w:tr w:rsidR="00C51217" w14:paraId="026D0233" w14:textId="77777777" w:rsidTr="00EA3D40">
        <w:trPr>
          <w:cantSplit/>
          <w:trHeight w:val="244"/>
        </w:trPr>
        <w:tc>
          <w:tcPr>
            <w:tcW w:w="1304" w:type="dxa"/>
            <w:vMerge w:val="restart"/>
            <w:tcBorders>
              <w:top w:val="single" w:sz="4" w:space="0" w:color="auto"/>
            </w:tcBorders>
          </w:tcPr>
          <w:p w14:paraId="1FC6742C" w14:textId="77777777" w:rsidR="00C51217" w:rsidRDefault="00C51217" w:rsidP="00966AD7">
            <w:pPr>
              <w:spacing w:line="276" w:lineRule="auto"/>
              <w:rPr>
                <w:rFonts w:ascii="Palatino Linotype" w:hAnsi="Palatino Linotype" w:cs="Times New Roman"/>
                <w:b/>
                <w:i/>
                <w:sz w:val="18"/>
                <w:szCs w:val="18"/>
                <w:lang w:val="id-ID"/>
              </w:rPr>
            </w:pPr>
          </w:p>
          <w:p w14:paraId="1B636D4A" w14:textId="77777777" w:rsidR="00C51217" w:rsidRPr="001E2266" w:rsidRDefault="00C51217" w:rsidP="00966AD7">
            <w:pPr>
              <w:spacing w:line="276" w:lineRule="auto"/>
              <w:rPr>
                <w:rFonts w:ascii="Palatino Linotype" w:hAnsi="Palatino Linotype" w:cs="Times New Roman"/>
                <w:b/>
                <w:i/>
                <w:sz w:val="18"/>
                <w:szCs w:val="18"/>
                <w:lang w:val="id-ID"/>
              </w:rPr>
            </w:pPr>
            <w:r w:rsidRPr="001E2266">
              <w:rPr>
                <w:rFonts w:ascii="Palatino Linotype" w:hAnsi="Palatino Linotype" w:cs="Times New Roman"/>
                <w:b/>
                <w:i/>
                <w:sz w:val="18"/>
                <w:szCs w:val="18"/>
                <w:lang w:val="id-ID"/>
              </w:rPr>
              <w:t>Artikel Info</w:t>
            </w:r>
          </w:p>
          <w:p w14:paraId="35449085"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Submitted:</w:t>
            </w:r>
          </w:p>
          <w:p w14:paraId="31E809B3"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Revised:</w:t>
            </w:r>
          </w:p>
          <w:p w14:paraId="0FDCCFDE"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Accepted:</w:t>
            </w:r>
          </w:p>
          <w:p w14:paraId="3A1F0145" w14:textId="77777777" w:rsidR="00CE5B54" w:rsidRPr="00BD7AA6" w:rsidRDefault="00CE5B54" w:rsidP="00CE5B54">
            <w:pPr>
              <w:spacing w:line="276" w:lineRule="auto"/>
              <w:rPr>
                <w:rFonts w:ascii="Palatino Linotype" w:hAnsi="Palatino Linotype" w:cs="Times New Roman"/>
                <w:i/>
                <w:sz w:val="20"/>
                <w:szCs w:val="20"/>
                <w:lang w:val="id-ID"/>
              </w:rPr>
            </w:pPr>
            <w:r w:rsidRPr="00BD7AA6">
              <w:rPr>
                <w:rFonts w:ascii="Palatino Linotype" w:hAnsi="Palatino Linotype" w:cs="Times New Roman"/>
                <w:i/>
                <w:sz w:val="20"/>
                <w:szCs w:val="20"/>
                <w:lang w:val="id-ID"/>
              </w:rPr>
              <w:t>Online first :</w:t>
            </w:r>
          </w:p>
          <w:p w14:paraId="4365CF64" w14:textId="77777777" w:rsidR="00C51217" w:rsidRPr="001E2266" w:rsidRDefault="00C51217" w:rsidP="00966AD7">
            <w:pPr>
              <w:rPr>
                <w:rFonts w:ascii="Palatino Linotype" w:hAnsi="Palatino Linotype" w:cs="Times New Roman"/>
                <w:sz w:val="18"/>
                <w:szCs w:val="18"/>
                <w:lang w:val="id-ID"/>
              </w:rPr>
            </w:pPr>
          </w:p>
          <w:p w14:paraId="33D1F7B6" w14:textId="77777777" w:rsidR="00C51217" w:rsidRDefault="00C51217" w:rsidP="00966AD7">
            <w:pPr>
              <w:rPr>
                <w:rFonts w:ascii="Palatino Linotype" w:hAnsi="Palatino Linotype" w:cs="Times New Roman"/>
                <w:sz w:val="18"/>
                <w:szCs w:val="18"/>
              </w:rPr>
            </w:pPr>
          </w:p>
          <w:p w14:paraId="1918C66E" w14:textId="77777777" w:rsidR="00C51217" w:rsidRDefault="00C51217" w:rsidP="00966AD7">
            <w:pPr>
              <w:rPr>
                <w:rFonts w:ascii="Palatino Linotype" w:hAnsi="Palatino Linotype" w:cs="Times New Roman"/>
                <w:sz w:val="18"/>
                <w:szCs w:val="18"/>
              </w:rPr>
            </w:pPr>
          </w:p>
        </w:tc>
        <w:tc>
          <w:tcPr>
            <w:tcW w:w="8194" w:type="dxa"/>
            <w:gridSpan w:val="2"/>
            <w:tcBorders>
              <w:top w:val="single" w:sz="4" w:space="0" w:color="auto"/>
            </w:tcBorders>
          </w:tcPr>
          <w:p w14:paraId="66811E1C" w14:textId="77777777" w:rsidR="00C51217" w:rsidRPr="00265382" w:rsidRDefault="00C51217" w:rsidP="00966AD7">
            <w:pPr>
              <w:rPr>
                <w:rFonts w:ascii="Palatino Linotype" w:hAnsi="Palatino Linotype" w:cs="Times New Roman"/>
                <w:b/>
                <w:sz w:val="19"/>
                <w:szCs w:val="19"/>
              </w:rPr>
            </w:pPr>
            <w:r w:rsidRPr="00265382">
              <w:rPr>
                <w:rFonts w:ascii="Palatino Linotype" w:hAnsi="Palatino Linotype" w:cs="Times New Roman"/>
                <w:b/>
                <w:sz w:val="19"/>
                <w:szCs w:val="19"/>
              </w:rPr>
              <w:t>A</w:t>
            </w:r>
            <w:r w:rsidRPr="00265382">
              <w:rPr>
                <w:rFonts w:ascii="Palatino Linotype" w:hAnsi="Palatino Linotype" w:cs="Times New Roman"/>
                <w:b/>
                <w:sz w:val="19"/>
                <w:szCs w:val="19"/>
                <w:lang w:val="id-ID"/>
              </w:rPr>
              <w:t>bstract</w:t>
            </w:r>
          </w:p>
        </w:tc>
      </w:tr>
      <w:tr w:rsidR="00C51217" w14:paraId="4D918071" w14:textId="77777777" w:rsidTr="009D6C48">
        <w:trPr>
          <w:cantSplit/>
          <w:trHeight w:val="3444"/>
        </w:trPr>
        <w:tc>
          <w:tcPr>
            <w:tcW w:w="1304" w:type="dxa"/>
            <w:vMerge/>
          </w:tcPr>
          <w:p w14:paraId="2AFA12D4" w14:textId="77777777" w:rsidR="00C51217" w:rsidRPr="00512E8C" w:rsidRDefault="00C51217" w:rsidP="00966AD7">
            <w:pPr>
              <w:rPr>
                <w:rFonts w:ascii="Palatino Linotype" w:hAnsi="Palatino Linotype" w:cs="Times New Roman"/>
                <w:sz w:val="18"/>
                <w:szCs w:val="18"/>
              </w:rPr>
            </w:pPr>
          </w:p>
        </w:tc>
        <w:tc>
          <w:tcPr>
            <w:tcW w:w="8194" w:type="dxa"/>
            <w:gridSpan w:val="2"/>
            <w:shd w:val="clear" w:color="auto" w:fill="F2F2F2" w:themeFill="background1" w:themeFillShade="F2"/>
          </w:tcPr>
          <w:p w14:paraId="6A1F8DB7" w14:textId="77777777" w:rsidR="00A05D22" w:rsidRPr="00D45364" w:rsidRDefault="00A05D22" w:rsidP="00A05D22">
            <w:pPr>
              <w:jc w:val="both"/>
              <w:rPr>
                <w:rFonts w:ascii="Times New Roman" w:hAnsi="Times New Roman" w:cs="Times New Roman"/>
                <w:i/>
                <w:iCs/>
                <w:sz w:val="20"/>
                <w:szCs w:val="20"/>
              </w:rPr>
            </w:pPr>
            <w:r w:rsidRPr="00D45364">
              <w:rPr>
                <w:rFonts w:ascii="Times New Roman" w:hAnsi="Times New Roman" w:cs="Times New Roman"/>
                <w:i/>
                <w:iCs/>
                <w:sz w:val="20"/>
                <w:szCs w:val="20"/>
              </w:rPr>
              <w:t>This study analyzes the influence of the Open Unemployment Rate (OUR) and the Labor Force Participation Rate (LFPR) on poverty in Aceh Province during 2018–2024. Panel data from twenty-three districts and cities were examined using panel regression with the Common Effect Model, selected based on Chow and Lagrange Multiplier tests. Results indicate that OUR has a positive and significant effect on poverty, implying that higher unemployment increases the number of poor people. Conversely, LFPR has a negative and significant effect, meaning that greater participation reduces poverty levels. Taken together, both variables significantly shape poverty dynamics in Aceh. The coefficient of determination (R²) equals 0.6867, indicating that 68.67% of the variation in poverty is explained by OUR and LFPR, while 31.33% is attributable to factors outside the model. Policy implications emphasize job-creating growth, active labor market matching, targeted skills training, and programs that raise women’s participation. Strengthening productive sectors, expanding decent work opportunities, and improving institutional coordination are essential to accelerate poverty reduction. The findings reinforce the need for integrated strategies that simultaneously lower unemployment and lift labor force participation, ensuring inclusive and sustainable welfare improvements for communities across the province.</w:t>
            </w:r>
          </w:p>
          <w:p w14:paraId="6EAE4194" w14:textId="311ABF09" w:rsidR="001D0B81" w:rsidRPr="00D45364" w:rsidRDefault="00C51217" w:rsidP="00FF5059">
            <w:pPr>
              <w:rPr>
                <w:rFonts w:ascii="Palatino Linotype" w:hAnsi="Palatino Linotype" w:cs="Times New Roman"/>
                <w:bCs/>
                <w:sz w:val="20"/>
                <w:szCs w:val="20"/>
                <w:lang w:val="id-ID"/>
              </w:rPr>
            </w:pPr>
            <w:r w:rsidRPr="00D45364">
              <w:rPr>
                <w:rFonts w:ascii="Palatino Linotype" w:hAnsi="Palatino Linotype" w:cs="Times New Roman"/>
                <w:b/>
                <w:sz w:val="20"/>
                <w:szCs w:val="20"/>
                <w:lang w:val="id-ID"/>
              </w:rPr>
              <w:t>Keywords</w:t>
            </w:r>
            <w:r w:rsidR="001249A6" w:rsidRPr="00D45364">
              <w:rPr>
                <w:rFonts w:ascii="Palatino Linotype" w:hAnsi="Palatino Linotype" w:cs="Times New Roman"/>
                <w:b/>
                <w:sz w:val="20"/>
                <w:szCs w:val="20"/>
                <w:lang w:val="id-ID"/>
              </w:rPr>
              <w:t xml:space="preserve">: </w:t>
            </w:r>
            <w:r w:rsidR="001D0B81" w:rsidRPr="00D45364">
              <w:rPr>
                <w:rStyle w:val="s1"/>
                <w:rFonts w:ascii="Palatino Linotype" w:hAnsi="Palatino Linotype"/>
                <w:sz w:val="20"/>
                <w:szCs w:val="20"/>
              </w:rPr>
              <w:t>Poverty, Open Unemployment Rate, Labor Force Participation Rate, Aceh</w:t>
            </w:r>
          </w:p>
        </w:tc>
      </w:tr>
      <w:tr w:rsidR="00C51217" w14:paraId="4ECEB8A9" w14:textId="77777777" w:rsidTr="00EA3D40">
        <w:trPr>
          <w:cantSplit/>
          <w:trHeight w:val="144"/>
        </w:trPr>
        <w:tc>
          <w:tcPr>
            <w:tcW w:w="1304" w:type="dxa"/>
          </w:tcPr>
          <w:p w14:paraId="61F9491D" w14:textId="77777777" w:rsidR="00C51217" w:rsidRPr="00512E8C" w:rsidRDefault="00C51217" w:rsidP="00966AD7">
            <w:pPr>
              <w:rPr>
                <w:rFonts w:ascii="Palatino Linotype" w:hAnsi="Palatino Linotype" w:cs="Times New Roman"/>
                <w:sz w:val="18"/>
                <w:szCs w:val="18"/>
              </w:rPr>
            </w:pPr>
            <w:r w:rsidRPr="00512E8C">
              <w:rPr>
                <w:sz w:val="18"/>
                <w:szCs w:val="18"/>
              </w:rPr>
              <w:br w:type="page"/>
            </w:r>
          </w:p>
        </w:tc>
        <w:tc>
          <w:tcPr>
            <w:tcW w:w="8194" w:type="dxa"/>
            <w:gridSpan w:val="2"/>
          </w:tcPr>
          <w:p w14:paraId="6E4E598F" w14:textId="2E7AEBCB" w:rsidR="00C51217" w:rsidRPr="00D45364" w:rsidRDefault="00C51217" w:rsidP="00966AD7">
            <w:pPr>
              <w:rPr>
                <w:rFonts w:ascii="Palatino Linotype" w:hAnsi="Palatino Linotype" w:cs="Times New Roman"/>
                <w:b/>
                <w:i/>
                <w:sz w:val="20"/>
                <w:szCs w:val="20"/>
                <w:lang w:val="id-ID"/>
              </w:rPr>
            </w:pPr>
            <w:r w:rsidRPr="00D45364">
              <w:rPr>
                <w:rFonts w:ascii="Palatino Linotype" w:hAnsi="Palatino Linotype" w:cs="Times New Roman"/>
                <w:b/>
                <w:i/>
                <w:sz w:val="20"/>
                <w:szCs w:val="20"/>
              </w:rPr>
              <w:t>A</w:t>
            </w:r>
            <w:r w:rsidRPr="00D45364">
              <w:rPr>
                <w:rFonts w:ascii="Palatino Linotype" w:hAnsi="Palatino Linotype" w:cs="Times New Roman"/>
                <w:b/>
                <w:i/>
                <w:sz w:val="20"/>
                <w:szCs w:val="20"/>
                <w:lang w:val="id-ID"/>
              </w:rPr>
              <w:t>bstrak</w:t>
            </w:r>
          </w:p>
        </w:tc>
      </w:tr>
      <w:tr w:rsidR="00C51217" w:rsidRPr="00E63141" w14:paraId="72E9660C" w14:textId="77777777" w:rsidTr="002976A8">
        <w:trPr>
          <w:cantSplit/>
          <w:trHeight w:val="4212"/>
        </w:trPr>
        <w:tc>
          <w:tcPr>
            <w:tcW w:w="1304" w:type="dxa"/>
            <w:tcBorders>
              <w:bottom w:val="single" w:sz="4" w:space="0" w:color="auto"/>
            </w:tcBorders>
          </w:tcPr>
          <w:p w14:paraId="6B8F1305" w14:textId="77777777" w:rsidR="00C51217" w:rsidRPr="00E63141" w:rsidRDefault="00C51217" w:rsidP="00966AD7">
            <w:pPr>
              <w:rPr>
                <w:rFonts w:ascii="Palatino Linotype" w:hAnsi="Palatino Linotype" w:cs="Times New Roman"/>
                <w:sz w:val="16"/>
                <w:szCs w:val="16"/>
              </w:rPr>
            </w:pPr>
          </w:p>
        </w:tc>
        <w:tc>
          <w:tcPr>
            <w:tcW w:w="8194" w:type="dxa"/>
            <w:gridSpan w:val="2"/>
            <w:tcBorders>
              <w:bottom w:val="single" w:sz="4" w:space="0" w:color="auto"/>
            </w:tcBorders>
            <w:shd w:val="clear" w:color="auto" w:fill="F2F2F2" w:themeFill="background1" w:themeFillShade="F2"/>
          </w:tcPr>
          <w:p w14:paraId="016F41AE" w14:textId="77777777" w:rsidR="007232F1" w:rsidRPr="007232F1" w:rsidRDefault="007232F1" w:rsidP="007232F1">
            <w:pPr>
              <w:spacing w:after="160"/>
              <w:jc w:val="both"/>
              <w:divId w:val="1343976680"/>
              <w:rPr>
                <w:rFonts w:ascii="Times New Roman" w:eastAsiaTheme="majorEastAsia" w:hAnsi="Times New Roman" w:cs="Times New Roman"/>
                <w:bCs/>
                <w:sz w:val="20"/>
                <w:szCs w:val="20"/>
                <w:lang w:val="id-ID"/>
              </w:rPr>
            </w:pPr>
            <w:r w:rsidRPr="007232F1">
              <w:rPr>
                <w:rFonts w:ascii="Times New Roman" w:eastAsiaTheme="majorEastAsia" w:hAnsi="Times New Roman" w:cs="Times New Roman"/>
                <w:bCs/>
                <w:sz w:val="20"/>
                <w:szCs w:val="20"/>
                <w:lang w:val="id-ID"/>
              </w:rPr>
              <w:t>Penelitian ini bertujuan untuk menganalisis pengaruh Tingkat Pengangguran Terbuka (TPT) dan Tingkat Partisipasi Angkatan Kerja (TPAK) terhadap kemiskinan di Provinsi Aceh pada periode 2018–2024. Data penelitian berupa panel dari dua puluh tiga kabupaten/kota yang dianalisis menggunakan regresi data panel dengan pendekatan Common Effect Model, dipilih berdasarkan hasil uji Chow dan Lagrange Multiplier. Hasil penelitian menunjukkan bahwa TPT berpengaruh positif dan signifikan terhadap kemiskinan, yang berarti peningkatan angka pengangguran akan menambah jumlah penduduk miskin. Sebaliknya, TPAK berpengaruh negatif dan signifikan, artinya semakin tinggi tingkat partisipasi angkatan kerja maka semakin rendah tingkat kemiskinan. Secara simultan, kedua variabel terbukti berpengaruh signifikan terhadap kemiskinan di Aceh. Nilai koefisien determinasi (R²) sebesar 0,6867 menunjukkan bahwa 68,67% variasi kemiskinan dapat dijelaskan oleh TPT dan TPAK, sedangkan 31,33% lainnya dipengaruhi faktor di luar model penelitian. Implikasi kebijakan menekankan pentingnya pertumbuhan ekonomi yang menciptakan lapangan kerja, pencocokan pasar tenaga kerja yang lebih efektif, pelatihan keterampilan yang terarah, serta program peningkatan partisipasi perempuan. Penguatan sektor produktif, perluasan kesempatan kerja layak, dan peningkatan koordinasi kelembagaan diperlukan untuk mempercepat pengurangan kemiskinan. Temuan ini menegaskan urgensi strategi terpadu yang mampu menekan pengangguran sekaligus meningkatkan partisipasi angkatan kerja guna mewujudkan kesejahteraan masyarakat Aceh secara inklusif dan berkelanjutan.</w:t>
            </w:r>
          </w:p>
          <w:p w14:paraId="1B324763" w14:textId="1A5898BC" w:rsidR="001249A6" w:rsidRPr="00737A04" w:rsidRDefault="00C51217" w:rsidP="00737A04">
            <w:pPr>
              <w:pStyle w:val="p1"/>
              <w:divId w:val="1343976680"/>
              <w:rPr>
                <w:rFonts w:ascii="Palatino Linotype" w:hAnsi="Palatino Linotype"/>
                <w:i/>
                <w:iCs/>
                <w:sz w:val="22"/>
                <w:szCs w:val="22"/>
              </w:rPr>
            </w:pPr>
            <w:r w:rsidRPr="007232F1">
              <w:rPr>
                <w:rFonts w:ascii="Palatino Linotype" w:hAnsi="Palatino Linotype"/>
                <w:b/>
                <w:iCs/>
                <w:sz w:val="20"/>
                <w:szCs w:val="20"/>
                <w:lang w:val="id-ID"/>
              </w:rPr>
              <w:t>Kata</w:t>
            </w:r>
            <w:r w:rsidR="005E1F7E" w:rsidRPr="007232F1">
              <w:rPr>
                <w:rFonts w:ascii="Palatino Linotype" w:hAnsi="Palatino Linotype"/>
                <w:b/>
                <w:iCs/>
                <w:sz w:val="20"/>
                <w:szCs w:val="20"/>
                <w:lang w:val="id-ID"/>
              </w:rPr>
              <w:t>-kata</w:t>
            </w:r>
            <w:r w:rsidR="00357B7D" w:rsidRPr="007232F1">
              <w:rPr>
                <w:rFonts w:ascii="Palatino Linotype" w:hAnsi="Palatino Linotype"/>
                <w:b/>
                <w:iCs/>
                <w:sz w:val="20"/>
                <w:szCs w:val="20"/>
                <w:lang w:val="id-ID"/>
              </w:rPr>
              <w:t xml:space="preserve"> </w:t>
            </w:r>
            <w:r w:rsidRPr="007232F1">
              <w:rPr>
                <w:rFonts w:ascii="Palatino Linotype" w:hAnsi="Palatino Linotype"/>
                <w:b/>
                <w:iCs/>
                <w:sz w:val="20"/>
                <w:szCs w:val="20"/>
                <w:lang w:val="id-ID"/>
              </w:rPr>
              <w:t>kunci</w:t>
            </w:r>
            <w:r w:rsidRPr="007232F1">
              <w:rPr>
                <w:rFonts w:ascii="Palatino Linotype" w:hAnsi="Palatino Linotype"/>
                <w:i/>
                <w:sz w:val="20"/>
                <w:szCs w:val="20"/>
                <w:lang w:val="id-ID"/>
              </w:rPr>
              <w:t>:</w:t>
            </w:r>
            <w:r w:rsidR="00E3489D" w:rsidRPr="007232F1">
              <w:rPr>
                <w:rFonts w:ascii="Palatino Linotype" w:eastAsia="Times New Roman" w:hAnsi="Palatino Linotype"/>
                <w:sz w:val="20"/>
                <w:szCs w:val="20"/>
                <w:lang w:val="id-ID"/>
              </w:rPr>
              <w:t xml:space="preserve"> </w:t>
            </w:r>
            <w:r w:rsidR="00910F3E" w:rsidRPr="007232F1">
              <w:rPr>
                <w:rStyle w:val="s1"/>
                <w:rFonts w:ascii="Palatino Linotype" w:hAnsi="Palatino Linotype"/>
                <w:i w:val="0"/>
                <w:iCs w:val="0"/>
                <w:sz w:val="20"/>
                <w:szCs w:val="20"/>
                <w:lang w:val="id-ID"/>
              </w:rPr>
              <w:t>Kemiskinan, Tingkat Pengangguran Terbuka, Tingkat Partisipasi Angkatan Kerja, Aceh</w:t>
            </w:r>
          </w:p>
        </w:tc>
      </w:tr>
      <w:tr w:rsidR="004C760C"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Default="004C760C" w:rsidP="00966AD7">
            <w:pPr>
              <w:tabs>
                <w:tab w:val="left" w:pos="3132"/>
              </w:tabs>
              <w:spacing w:line="360" w:lineRule="auto"/>
              <w:rPr>
                <w:rFonts w:ascii="Palatino Linotype" w:hAnsi="Palatino Linotype" w:cs="Times New Roman"/>
              </w:rPr>
            </w:pPr>
            <w:r>
              <w:rPr>
                <w:rFonts w:ascii="Palatino Linotype" w:hAnsi="Palatino Linotype" w:cs="Times New Roman"/>
                <w:noProof/>
              </w:rPr>
              <w:lastRenderedPageBreak/>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C760C" w:rsidRDefault="004C760C" w:rsidP="00966AD7">
            <w:pPr>
              <w:tabs>
                <w:tab w:val="left" w:pos="3132"/>
              </w:tabs>
              <w:jc w:val="both"/>
              <w:rPr>
                <w:rFonts w:ascii="Palatino Linotype" w:hAnsi="Palatino Linotype" w:cs="Times New Roman"/>
                <w:b/>
                <w:sz w:val="20"/>
                <w:szCs w:val="20"/>
                <w:lang w:val="id-ID"/>
              </w:rPr>
            </w:pPr>
            <w:hyperlink r:id="rId15" w:history="1">
              <w:r w:rsidRPr="004C760C">
                <w:rPr>
                  <w:rStyle w:val="Hyperlink"/>
                  <w:rFonts w:ascii="Palatino Linotype" w:hAnsi="Palatino Linotype" w:cs="Times New Roman"/>
                  <w:sz w:val="20"/>
                  <w:szCs w:val="20"/>
                </w:rPr>
                <w:t>This work is licensed under a Creative Commons Attribution-</w:t>
              </w:r>
              <w:proofErr w:type="spellStart"/>
              <w:r w:rsidRPr="004C760C">
                <w:rPr>
                  <w:rStyle w:val="Hyperlink"/>
                  <w:rFonts w:ascii="Palatino Linotype" w:hAnsi="Palatino Linotype" w:cs="Times New Roman"/>
                  <w:sz w:val="20"/>
                  <w:szCs w:val="20"/>
                </w:rPr>
                <w:t>NonCommercial</w:t>
              </w:r>
              <w:proofErr w:type="spellEnd"/>
              <w:r w:rsidRPr="004C760C">
                <w:rPr>
                  <w:rStyle w:val="Hyperlink"/>
                  <w:rFonts w:ascii="Palatino Linotype" w:hAnsi="Palatino Linotype" w:cs="Times New Roman"/>
                  <w:sz w:val="20"/>
                  <w:szCs w:val="20"/>
                </w:rPr>
                <w:t xml:space="preserve"> 4.0 International License.</w:t>
              </w:r>
            </w:hyperlink>
            <w:r>
              <w:rPr>
                <w:rFonts w:ascii="Palatino Linotype" w:hAnsi="Palatino Linotype" w:cs="Times New Roman"/>
                <w:b/>
                <w:sz w:val="20"/>
                <w:szCs w:val="20"/>
                <w:lang w:val="id-ID"/>
              </w:rPr>
              <w:t xml:space="preserve"> </w:t>
            </w:r>
          </w:p>
        </w:tc>
      </w:tr>
    </w:tbl>
    <w:p w14:paraId="6A9A8F55" w14:textId="77777777" w:rsidR="003D58C5" w:rsidRDefault="003D58C5" w:rsidP="00AF04A4">
      <w:pPr>
        <w:rPr>
          <w:lang w:val="id-ID"/>
        </w:rPr>
      </w:pPr>
    </w:p>
    <w:p w14:paraId="38612CCE" w14:textId="05AD7628" w:rsidR="007713C0" w:rsidRPr="00F81765" w:rsidRDefault="00A73FDF" w:rsidP="00951462">
      <w:pPr>
        <w:pStyle w:val="Heading1"/>
        <w:spacing w:before="0" w:line="360" w:lineRule="auto"/>
        <w:ind w:left="0" w:right="96"/>
        <w:jc w:val="left"/>
        <w:rPr>
          <w:rFonts w:ascii="Palatino Linotype" w:hAnsi="Palatino Linotype"/>
          <w:color w:val="000000" w:themeColor="text1"/>
          <w:sz w:val="22"/>
          <w:szCs w:val="22"/>
        </w:rPr>
      </w:pPr>
      <w:r>
        <w:rPr>
          <w:rFonts w:ascii="Palatino Linotype" w:hAnsi="Palatino Linotype"/>
          <w:color w:val="000000" w:themeColor="text1"/>
          <w:sz w:val="22"/>
          <w:szCs w:val="22"/>
          <w:lang w:val="id-ID"/>
        </w:rPr>
        <w:t>PENDAHULUAN</w:t>
      </w:r>
      <w:r w:rsidR="00E14847" w:rsidRPr="00F81765">
        <w:rPr>
          <w:rFonts w:ascii="Palatino Linotype" w:hAnsi="Palatino Linotype"/>
          <w:color w:val="000000" w:themeColor="text1"/>
          <w:sz w:val="22"/>
          <w:szCs w:val="22"/>
        </w:rPr>
        <w:t xml:space="preserve"> </w:t>
      </w:r>
    </w:p>
    <w:p w14:paraId="0B164548" w14:textId="77777777" w:rsidR="002866E5" w:rsidRPr="002866E5" w:rsidRDefault="002866E5" w:rsidP="007A4984">
      <w:pPr>
        <w:spacing w:after="0" w:line="360" w:lineRule="auto"/>
        <w:ind w:firstLine="720"/>
        <w:jc w:val="both"/>
        <w:rPr>
          <w:rFonts w:ascii="Palatino Linotype" w:eastAsia="Times New Roman" w:hAnsi="Palatino Linotype" w:cs="Times New Roman"/>
          <w:lang w:val="id-ID"/>
        </w:rPr>
      </w:pPr>
      <w:r w:rsidRPr="002866E5">
        <w:rPr>
          <w:rFonts w:ascii="Palatino Linotype" w:eastAsia="Times New Roman" w:hAnsi="Palatino Linotype" w:cs="Times New Roman"/>
          <w:lang w:val="id-ID"/>
        </w:rPr>
        <w:t>Kemiskinan merupakan masalah sosial kompleks yang berkaitan dengan kualitas hidup, kesempatan kerja, pendidikan, dan kesehatan. Di Aceh, kemiskinan masih menjadi tantangan serius, di mana Tingkat Pengangguran Terbuka (TPT) mencerminkan ketidakseimbangan antara pencari kerja dan lapangan kerja. Tingginya pengangguran berkontribusi langsung terhadap meningkatnya jumlah penduduk miskin, sementara Tingkat Partisipasi Angkatan Kerja (TPAK) juga berperan penting dalam menganalisis kemiskinan. Rendahnya TPAK mengindikasikan keterbatasan peluang kerja atau rendahnya motivasi akibat faktor struktural dan kultural. Karena itu, diperlukan kajian empiris untuk menilai pengaruh TPT dan TPAK terhadap kemiskinan di Aceh.</w:t>
      </w:r>
    </w:p>
    <w:p w14:paraId="6772BFD3" w14:textId="7628AF88" w:rsidR="00E43B97" w:rsidRPr="007A4984" w:rsidRDefault="002866E5" w:rsidP="007A4984">
      <w:pPr>
        <w:spacing w:after="0" w:line="360" w:lineRule="auto"/>
        <w:ind w:firstLine="720"/>
        <w:jc w:val="both"/>
        <w:rPr>
          <w:rFonts w:ascii="Palatino Linotype" w:eastAsia="Times New Roman" w:hAnsi="Palatino Linotype" w:cs="Times New Roman"/>
          <w:lang w:val="id-ID"/>
        </w:rPr>
      </w:pPr>
      <w:r w:rsidRPr="002866E5">
        <w:rPr>
          <w:rFonts w:ascii="Palatino Linotype" w:eastAsia="Times New Roman" w:hAnsi="Palatino Linotype" w:cs="Times New Roman"/>
          <w:lang w:val="id-ID"/>
        </w:rPr>
        <w:t>Data menunjukkan TPT berfluktuasi pada 2018–2024, dengan puncak 6,59% di 2020 akibat pandemi, lalu turun hingga 5,75% pada 2024 seiring pemulihan ekonomi melalui program pemerintah. Namun, pengangguran tetap dipengaruhi faktor struktural seperti rendahnya kualitas SDM, terbatasnya lapangan kerja, dan ketimpangan wilayah. Sementara itu, TPAK juga berfluktuasi, turun ke 63,13% pada 2019, melonjak 65,10% di 2020, menurun pada 2021–2022, lalu meningkat hingga 65,11% pada 2024. Angka kemiskinan menurun bertahap dari 15,97% pada 2018 menjadi 14,23% pada 2024, mencerminkan perbaikan kondisi sosial ekonomi masyarakat.</w:t>
      </w:r>
    </w:p>
    <w:p w14:paraId="1A5B0388" w14:textId="74CE54F2" w:rsidR="0069374A" w:rsidRPr="007A4984" w:rsidRDefault="0069374A" w:rsidP="0069374A">
      <w:pPr>
        <w:spacing w:after="0" w:line="360" w:lineRule="auto"/>
        <w:jc w:val="both"/>
        <w:rPr>
          <w:rFonts w:ascii="Palatino Linotype" w:hAnsi="Palatino Linotype" w:cs="Times New Roman"/>
          <w:lang w:val="id-ID"/>
        </w:rPr>
      </w:pPr>
      <w:r w:rsidRPr="007A4984">
        <w:rPr>
          <w:rFonts w:ascii="Palatino Linotype" w:hAnsi="Palatino Linotype" w:cs="Times New Roman"/>
          <w:b/>
          <w:bCs/>
          <w:lang w:val="id-ID"/>
        </w:rPr>
        <w:t>KAJIAN TEORI</w:t>
      </w:r>
    </w:p>
    <w:p w14:paraId="2A7B515F" w14:textId="77777777" w:rsidR="00022708" w:rsidRPr="007A4984" w:rsidRDefault="00022708" w:rsidP="00022708">
      <w:pPr>
        <w:spacing w:after="0" w:line="360" w:lineRule="auto"/>
        <w:ind w:firstLine="720"/>
        <w:jc w:val="both"/>
        <w:rPr>
          <w:rFonts w:ascii="Palatino Linotype" w:hAnsi="Palatino Linotype" w:cs="Times New Roman"/>
          <w:lang w:val="id-ID"/>
        </w:rPr>
      </w:pPr>
      <w:r w:rsidRPr="007A4984">
        <w:rPr>
          <w:rFonts w:ascii="Palatino Linotype" w:hAnsi="Palatino Linotype" w:cs="Times New Roman"/>
          <w:lang w:val="id-ID"/>
        </w:rPr>
        <w:t xml:space="preserve">Menurut badan pusat statistik (BPS, 2014) Tingkat Pengangguran Terbuka (TPT) atau biasa disebut tingkat pengangguran menggambarkan proporsi angkatan kerja yang tidak memiliki pekerjaan dan secara aktif mencari dan bersedia untuk bekerja. Ini tidak boleh disalahartikan sebagai kesulitan ekonomi, meskipun korelasi antara tingkat pengangguran dan kemiskinan sering ada dan cenderung memiliki korelasi negatif (tingkat pengangguran relatif rendah pada orang-orang miskin). </w:t>
      </w:r>
    </w:p>
    <w:p w14:paraId="57ED72F1" w14:textId="77777777" w:rsidR="00022708" w:rsidRPr="007A4984" w:rsidRDefault="00022708" w:rsidP="00022708">
      <w:pPr>
        <w:spacing w:after="0" w:line="360" w:lineRule="auto"/>
        <w:ind w:firstLine="720"/>
        <w:jc w:val="both"/>
        <w:rPr>
          <w:rFonts w:ascii="Palatino Linotype" w:hAnsi="Palatino Linotype" w:cs="Times New Roman"/>
          <w:lang w:val="id-ID"/>
        </w:rPr>
      </w:pPr>
      <w:r w:rsidRPr="007A4984">
        <w:rPr>
          <w:rFonts w:ascii="Palatino Linotype" w:hAnsi="Palatino Linotype" w:cs="Times New Roman"/>
          <w:lang w:val="id-ID"/>
        </w:rPr>
        <w:t xml:space="preserve">Badan Pusat Statistik (BPS 2022) dalam jurnal  (Matondang et al., 2024) Tingkat Partisipasi Angkatan Kerja (TPAK) mengindikasikan besarnya penduduk usia kerja (15 tahun ke atas) yang aktif secara ekonomi di suatu negara atau wilayah. Tingkat Partisipasi Angkatan Kerja (TPAK) </w:t>
      </w:r>
      <w:r w:rsidRPr="007A4984">
        <w:rPr>
          <w:rFonts w:ascii="Palatino Linotype" w:hAnsi="Palatino Linotype" w:cs="Times New Roman"/>
          <w:lang w:val="id-ID"/>
        </w:rPr>
        <w:lastRenderedPageBreak/>
        <w:t>dapat diukur sebagai persentase jumlah angkatan kerja (bekerja dan pengangguran) terhadap penduduk usia kerja.</w:t>
      </w:r>
    </w:p>
    <w:p w14:paraId="19406552" w14:textId="4F0F4F26" w:rsidR="00BD67B7" w:rsidRPr="007A4984" w:rsidRDefault="000165D1" w:rsidP="00F210F1">
      <w:pPr>
        <w:spacing w:after="0" w:line="360" w:lineRule="auto"/>
        <w:ind w:firstLine="720"/>
        <w:jc w:val="both"/>
        <w:rPr>
          <w:rFonts w:ascii="Palatino Linotype" w:hAnsi="Palatino Linotype" w:cs="Times New Roman"/>
          <w:lang w:val="id-ID"/>
        </w:rPr>
      </w:pPr>
      <w:r w:rsidRPr="007A4984">
        <w:rPr>
          <w:rFonts w:ascii="Palatino Linotype" w:hAnsi="Palatino Linotype" w:cs="Times New Roman"/>
          <w:lang w:val="id-ID"/>
        </w:rPr>
        <w:t xml:space="preserve">Kemiskinan adalah kondisi di mana seseorang atau kelompok tidak dapat memenuhi kebutuhan dasar mereka untuk hidup layak, seperti makanan, pakaian, tempat tinggal, dan pendidikan. Menurut Badan Pusat Statistik </w:t>
      </w:r>
      <w:r w:rsidRPr="007A4984">
        <w:rPr>
          <w:rFonts w:ascii="Palatino Linotype" w:hAnsi="Palatino Linotype" w:cs="Times New Roman"/>
          <w:lang w:val="id-ID"/>
        </w:rPr>
        <w:fldChar w:fldCharType="begin" w:fldLock="1"/>
      </w:r>
      <w:r w:rsidRPr="007A4984">
        <w:rPr>
          <w:rFonts w:ascii="Palatino Linotype" w:hAnsi="Palatino Linotype" w:cs="Times New Roman"/>
          <w:lang w:val="id-ID"/>
        </w:rPr>
        <w:instrText>ADDIN CSL_CITATION {"citationItems":[{"id":"ITEM-1","itemData":{"abstract":"Jumlah angkatan kerja berdasarkan Survei Angkatan Kerja Nasional (Sakernas) pada Agustus 2022 sebanyak 143,72 juta orang, naik 3,57 juta orang dibanding Agustus 2021. Tingkat Partisipasi Angkatan Kerja (TPAK) naik sebesar 0,83 persen poin. Penduduk yang bekerja sebanyak 135,30 juta orang, naik sebanyak 4,25 juta orang dari Agustus 2021. Lapangan pekerjaan yang mengalami peningkatan terbesar adalah Sektor Pertanian, Kehutanan, dan Perikanan (1,57 juta orang). Hanya Sektor Pengadaan Air, Pengelolaan Sampah, Limbah, dan Daur Ulang yang mengalami penurunan, yaitu sebesar 0,05 juta orang. Sebanyak 55,06 juta orang (40,69 persen) bekerja pada kegiatan formal, naik 0,14 persen poin dibanding Agustus 2021. Persentase setengah pengangguran dan pekerja paruh waktu mengalami penurunan, masing-masing sebesar 2,39 persen poin dan 1,77 persen poin dibandingkan Agustus 2021. Persentase pekerja komuter Agustus 2022 sebesar 5,97 persen, mengalami peningkatan 0,37 persen poin dibanding Agustus 2021. Tingkat Pengangguran Terbuka (TPT) Agustus 2022 sebesar 5,86 persen, turun sebesar 0,63 persen poin dibandingkan dengan Agustus 2021. Terdapat 4,15 juta orang (1,98 persen) penduduk usia kerja yang terdampak COVID-19. Terdiri dari pengangguran karena COVID-19 (0,24 juta orang); Bukan Angkatan Kerja (BAK) karena COVID-19 (0,32 juta orang); sementara tidak bekerja karena COVID-19 (0,11 juta orang); dan penduduk bekerja yang mengalami pengurangan jam kerja karena COVID-19 (3,48 juta orang).","author":[{"dropping-particle":"","family":"BPS 2022","given":"","non-dropping-particle":"","parse-names":false,"suffix":""}],"container-title":"Bps.Go.Id","id":"ITEM-1","issue":"27","issued":{"date-parts":[["2022"]]},"page":"1-5","title":"Berita Resmi Statistik","type":"article-journal","volume":"19"},"uris":["http://www.mendeley.com/documents/?uuid=de15a9ac-75dc-4cf0-8417-71fb220f16f9"]}],"mendeley":{"formattedCitation":"(BPS 2022, 2022)","manualFormatting":"(BPS 2022)","plainTextFormattedCitation":"(BPS 2022, 2022)","previouslyFormattedCitation":"(BPS 2022, 2022)"},"properties":{"noteIndex":0},"schema":"https://github.com/citation-style-language/schema/raw/master/csl-citation.json"}</w:instrText>
      </w:r>
      <w:r w:rsidRPr="007A4984">
        <w:rPr>
          <w:rFonts w:ascii="Palatino Linotype" w:hAnsi="Palatino Linotype" w:cs="Times New Roman"/>
          <w:lang w:val="id-ID"/>
        </w:rPr>
        <w:fldChar w:fldCharType="separate"/>
      </w:r>
      <w:r w:rsidRPr="007A4984">
        <w:rPr>
          <w:rFonts w:ascii="Palatino Linotype" w:hAnsi="Palatino Linotype" w:cs="Times New Roman"/>
          <w:noProof/>
          <w:lang w:val="id-ID"/>
        </w:rPr>
        <w:t>(BPS 2022)</w:t>
      </w:r>
      <w:r w:rsidRPr="007A4984">
        <w:rPr>
          <w:rFonts w:ascii="Palatino Linotype" w:hAnsi="Palatino Linotype" w:cs="Times New Roman"/>
          <w:lang w:val="id-ID"/>
        </w:rPr>
        <w:fldChar w:fldCharType="end"/>
      </w:r>
      <w:r w:rsidRPr="007A4984">
        <w:rPr>
          <w:rFonts w:ascii="Palatino Linotype" w:hAnsi="Palatino Linotype" w:cs="Times New Roman"/>
          <w:lang w:val="id-ID"/>
        </w:rPr>
        <w:t xml:space="preserve"> kemiskinan ditentukan berdasarkan garis kemiskinan, yaitu tingkat pendapatan minimum yang diperlukan untuk memenuhi kebutuhan dasar</w:t>
      </w:r>
      <w:r w:rsidRPr="007A4984">
        <w:rPr>
          <w:rFonts w:ascii="Palatino Linotype" w:hAnsi="Palatino Linotype"/>
          <w:lang w:val="id-ID"/>
        </w:rPr>
        <w:t xml:space="preserve">. </w:t>
      </w:r>
      <w:r w:rsidRPr="007A4984">
        <w:rPr>
          <w:rFonts w:ascii="Palatino Linotype" w:hAnsi="Palatino Linotype" w:cs="Times New Roman"/>
          <w:lang w:val="id-ID"/>
        </w:rPr>
        <w:t xml:space="preserve">masyarakat miskin belum dapat memperoleh manfaat dari pertumbuhan ekonomi. kegagalan negara Indonesia dengan tingkat pertumbuhan domestik rata-rata 5 persen yang mungkin tidak memadai untuk penduduk miskin karena terbatasnya penyerapan angkatan tenaga kerja sehingga tidak mengurangi kemiskinan. Selain itu, pertumbuhan ekonomi Indonesia menurunkan kapasitas konsumsi per kapita rumah tangga, mengingat pengeluaran konsumsi rumah tangga sebagai indikator kemiskinan </w:t>
      </w:r>
      <w:r w:rsidRPr="007A4984">
        <w:rPr>
          <w:rFonts w:ascii="Palatino Linotype" w:hAnsi="Palatino Linotype" w:cs="Times New Roman"/>
          <w:lang w:val="id-ID"/>
        </w:rPr>
        <w:fldChar w:fldCharType="begin" w:fldLock="1"/>
      </w:r>
      <w:r w:rsidR="002866E5" w:rsidRPr="007A4984">
        <w:rPr>
          <w:rFonts w:ascii="Palatino Linotype" w:hAnsi="Palatino Linotype" w:cs="Times New Roman"/>
          <w:lang w:val="id-ID"/>
        </w:rPr>
        <w:instrText>ADDIN CSL_CITATION {"citationItems":[{"id":"ITEM-1","itemData":{"DOI":"10.21002/jepi.2024.11","ISSN":"14115212","abstract":"Di era baru globalisasi ini, semua negara termasuk Indonesia menargetkan pengentasan kemiskinan untuk membantu masyarakat mencapai kesejahteraan. Selain itu, kajian ini secara empiris mengkaji dampak belanja pemerintah, FDI, pertumbuhan ekonomi, dan pertumbuhan industri terhadap kemiskinan. Penelitian ini menggunakan metode Autoregressive Distributed Lag (ARDL). Data yang digunakan merupakan data time series dari tahun 1972 hingga 2021 yang diperoleh dari situs World Development Indicator. Hasil temuan estimasi ARDL menunjukkan bahwa pengeluaran pemerintah dan pertumbuhan industri meningkatkan pendapatan masyarakat dalam jangka panjang dan pendek. Sebaliknya, pertumbuhan ekonomi berhubungan negatif dengan kemiskinan, baik dalam jangka pendek maupun panjang. Sementara itu, FDI tidak berpengaruh signifikan dalam jangka pendek, tetapi berpengaruh negatif signifikan dalam jangka panjang, yang memperburuk kemiskinan di Indonesia.","author":[{"dropping-particle":"","family":"Najmi","given":"Isthafan","non-dropping-particle":"","parse-names":false,"suffix":""},{"dropping-particle":"","family":"Hasrina","given":"Cut Delsie","non-dropping-particle":"","parse-names":false,"suffix":""},{"dropping-particle":"","family":"Asmawati","given":"Asmawati","non-dropping-particle":"","parse-names":false,"suffix":""},{"dropping-particle":"","family":"Ansari","given":"Rizal","non-dropping-particle":"","parse-names":false,"suffix":""}],"container-title":"Jurnal Ekonomi dan Pembangunan Indonesia","id":"ITEM-1","issue":"1","issued":{"date-parts":[["2024"]]},"page":"167-183","title":"Belanja Pemerintah, FDI, Pertumbuhan Ekonomi, Pertumbuhan Industri, dan Kemiskinan di Indonesia","type":"article-journal","volume":"12"},"uris":["http://www.mendeley.com/documents/?uuid=abfe4cc6-f41e-4987-8ec1-7cc0aeacfb2c"]}],"mendeley":{"formattedCitation":"(Najmi et al., 2024)","plainTextFormattedCitation":"(Najmi et al., 2024)","previouslyFormattedCitation":"(Najmi et al., 2024)"},"properties":{"noteIndex":0},"schema":"https://github.com/citation-style-language/schema/raw/master/csl-citation.json"}</w:instrText>
      </w:r>
      <w:r w:rsidRPr="007A4984">
        <w:rPr>
          <w:rFonts w:ascii="Palatino Linotype" w:hAnsi="Palatino Linotype" w:cs="Times New Roman"/>
          <w:lang w:val="id-ID"/>
        </w:rPr>
        <w:fldChar w:fldCharType="separate"/>
      </w:r>
      <w:r w:rsidRPr="007A4984">
        <w:rPr>
          <w:rFonts w:ascii="Palatino Linotype" w:hAnsi="Palatino Linotype" w:cs="Times New Roman"/>
          <w:noProof/>
          <w:lang w:val="id-ID"/>
        </w:rPr>
        <w:t>(Najmi et al., 2024)</w:t>
      </w:r>
      <w:r w:rsidRPr="007A4984">
        <w:rPr>
          <w:rFonts w:ascii="Palatino Linotype" w:hAnsi="Palatino Linotype" w:cs="Times New Roman"/>
          <w:lang w:val="id-ID"/>
        </w:rPr>
        <w:fldChar w:fldCharType="end"/>
      </w:r>
      <w:r w:rsidR="00022708" w:rsidRPr="007A4984">
        <w:rPr>
          <w:rFonts w:ascii="Palatino Linotype" w:hAnsi="Palatino Linotype" w:cs="Times New Roman"/>
          <w:lang w:val="id-ID"/>
        </w:rPr>
        <w:t xml:space="preserve"> </w:t>
      </w:r>
    </w:p>
    <w:p w14:paraId="771B2410" w14:textId="77777777" w:rsidR="00C3101A" w:rsidRPr="007A4984" w:rsidRDefault="00C3101A" w:rsidP="00C3101A">
      <w:pPr>
        <w:spacing w:after="0" w:line="360" w:lineRule="auto"/>
        <w:jc w:val="both"/>
        <w:rPr>
          <w:rFonts w:ascii="Palatino Linotype" w:hAnsi="Palatino Linotype" w:cs="Times New Roman"/>
          <w:b/>
          <w:color w:val="000000" w:themeColor="text1"/>
          <w:lang w:val="id-ID"/>
        </w:rPr>
      </w:pPr>
      <w:r w:rsidRPr="007A4984">
        <w:rPr>
          <w:rFonts w:ascii="Palatino Linotype" w:hAnsi="Palatino Linotype" w:cs="Times New Roman"/>
          <w:b/>
          <w:color w:val="000000" w:themeColor="text1"/>
          <w:lang w:val="id-ID"/>
        </w:rPr>
        <w:t>METODE</w:t>
      </w:r>
    </w:p>
    <w:p w14:paraId="6743828E" w14:textId="77777777" w:rsidR="00C3101A" w:rsidRPr="007A4984" w:rsidRDefault="00C3101A" w:rsidP="00C3101A">
      <w:pPr>
        <w:spacing w:after="0" w:line="360" w:lineRule="auto"/>
        <w:jc w:val="both"/>
        <w:rPr>
          <w:rFonts w:ascii="Palatino Linotype" w:hAnsi="Palatino Linotype"/>
          <w:b/>
          <w:bCs/>
          <w:color w:val="000000" w:themeColor="text1"/>
          <w:lang w:val="id-ID"/>
        </w:rPr>
      </w:pPr>
      <w:r w:rsidRPr="007A4984">
        <w:rPr>
          <w:rFonts w:ascii="Palatino Linotype" w:hAnsi="Palatino Linotype"/>
          <w:b/>
          <w:bCs/>
          <w:color w:val="000000" w:themeColor="text1"/>
          <w:lang w:val="id-ID"/>
        </w:rPr>
        <w:t>Pendekatan Penelitian</w:t>
      </w:r>
    </w:p>
    <w:p w14:paraId="46F1CC39" w14:textId="23CFBDD4" w:rsidR="00572E10" w:rsidRPr="007A4984" w:rsidRDefault="00572E10" w:rsidP="00C3101A">
      <w:pPr>
        <w:spacing w:after="0" w:line="360" w:lineRule="auto"/>
        <w:ind w:firstLine="720"/>
        <w:jc w:val="both"/>
        <w:rPr>
          <w:rFonts w:ascii="Palatino Linotype" w:hAnsi="Palatino Linotype"/>
          <w:color w:val="000000" w:themeColor="text1"/>
          <w:lang w:val="id-ID"/>
        </w:rPr>
      </w:pPr>
      <w:r w:rsidRPr="007A4984">
        <w:rPr>
          <w:rFonts w:ascii="Palatino Linotype" w:hAnsi="Palatino Linotype"/>
          <w:color w:val="000000" w:themeColor="text1"/>
          <w:lang w:val="id-ID"/>
        </w:rPr>
        <w:t>Jenis penelitian ini adalah penelitian kuantitatif dengan menggunakan regresi data panel menggunakan analisis regresi linear berganda yang  bersifat data panel atau data panel merupakan gabungan antara data runtut waktu (time series) dengan data silang (cross section) dari tahun 2018-2024.</w:t>
      </w:r>
    </w:p>
    <w:p w14:paraId="440CFEB9" w14:textId="4194E363" w:rsidR="000569D0" w:rsidRPr="007A4984" w:rsidRDefault="000569D0" w:rsidP="000569D0">
      <w:pPr>
        <w:spacing w:after="0" w:line="360" w:lineRule="auto"/>
        <w:jc w:val="both"/>
        <w:rPr>
          <w:rFonts w:ascii="Palatino Linotype" w:eastAsia="Times New Roman" w:hAnsi="Palatino Linotype" w:cs="Times New Roman"/>
          <w:b/>
          <w:bCs/>
          <w:lang w:val="id-ID"/>
        </w:rPr>
      </w:pPr>
      <w:r w:rsidRPr="007A4984">
        <w:rPr>
          <w:rFonts w:ascii="Palatino Linotype" w:eastAsia="Times New Roman" w:hAnsi="Palatino Linotype" w:cs="Times New Roman"/>
          <w:b/>
          <w:bCs/>
          <w:lang w:val="id-ID"/>
        </w:rPr>
        <w:t>Sumber Data</w:t>
      </w:r>
    </w:p>
    <w:p w14:paraId="0FCE8C94" w14:textId="336DE8C0" w:rsidR="00E86755" w:rsidRPr="007A4984" w:rsidRDefault="00E86755" w:rsidP="000569D0">
      <w:pPr>
        <w:spacing w:after="0" w:line="360" w:lineRule="auto"/>
        <w:ind w:firstLine="720"/>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Sumber data dalam penelitian ini adalah sumber data sekunder. Dalam bentuk tahun, waktu (time series) dari tahun 2018-2024. Data tersebut diperoleh dari publikasi versi Badan Pusat Statistik (BPS)</w:t>
      </w:r>
    </w:p>
    <w:p w14:paraId="2DEEC04F" w14:textId="77777777" w:rsidR="00C3101A" w:rsidRPr="007A4984" w:rsidRDefault="00C3101A" w:rsidP="00C3101A">
      <w:pPr>
        <w:keepNext/>
        <w:keepLines/>
        <w:spacing w:after="0" w:line="360" w:lineRule="auto"/>
        <w:jc w:val="both"/>
        <w:outlineLvl w:val="2"/>
        <w:rPr>
          <w:rFonts w:ascii="Palatino Linotype" w:eastAsiaTheme="majorEastAsia" w:hAnsi="Palatino Linotype" w:cstheme="majorBidi"/>
          <w:b/>
          <w:bCs/>
          <w:color w:val="000000" w:themeColor="text1"/>
          <w:lang w:val="id-ID"/>
        </w:rPr>
      </w:pPr>
      <w:r w:rsidRPr="007A4984">
        <w:rPr>
          <w:rFonts w:ascii="Palatino Linotype" w:eastAsiaTheme="majorEastAsia" w:hAnsi="Palatino Linotype" w:cstheme="majorBidi"/>
          <w:b/>
          <w:bCs/>
          <w:color w:val="000000" w:themeColor="text1"/>
          <w:lang w:val="id-ID"/>
        </w:rPr>
        <w:t>Teknik Analisis Data</w:t>
      </w:r>
    </w:p>
    <w:p w14:paraId="366E0C8F" w14:textId="77777777" w:rsidR="00BF5544" w:rsidRPr="007A4984" w:rsidRDefault="00BF5544" w:rsidP="00BF5544">
      <w:pPr>
        <w:spacing w:after="0" w:line="360" w:lineRule="auto"/>
        <w:ind w:firstLine="360"/>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Dalam penelitian ini teknis analisis yang digunakan adalah teknik analisis regresi data panel. Data panel adalah gabungan antara data runtun waktu (time series) dan data silang ( cross section), (Salsabila et al., 2021), Penelitian ini menggunakan data panel yang merupakan kombinasi antara data cross section (lintas wilayah) dan time series (runtut waktu). Penggunaan data panel dipilih karena memiliki beberapa keunggulan, antara lain:</w:t>
      </w:r>
    </w:p>
    <w:p w14:paraId="45DA4BDA" w14:textId="77777777" w:rsidR="000168C4" w:rsidRPr="007A4984" w:rsidRDefault="00BF5544" w:rsidP="00A90D7D">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Mampu menggabungkan informasi dari perbedaan antar wilayah dan perubahan antar waktu sehingga menghasilkan estimasi yang lebih akurat.</w:t>
      </w:r>
    </w:p>
    <w:p w14:paraId="48F6B7E4" w14:textId="77777777" w:rsidR="000168C4" w:rsidRPr="007A4984" w:rsidRDefault="00BF5544" w:rsidP="00A90D7D">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Menambah jumlah observasi yang tersedia, sehingga meningkatkan derajat kebebasan (degree of freedom) dan efisiensi estimasi model.</w:t>
      </w:r>
    </w:p>
    <w:p w14:paraId="05E908AB" w14:textId="77777777" w:rsidR="000168C4" w:rsidRPr="007A4984" w:rsidRDefault="00BF5544" w:rsidP="00A90D7D">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lastRenderedPageBreak/>
        <w:t>Dapat mengendalikan heterogenitas individu atau wilayah yang tidak teramati (unobserved heterogeneity), sehingga meminimalkan bias pada hasil penelitian.</w:t>
      </w:r>
    </w:p>
    <w:p w14:paraId="14AC7145" w14:textId="1872DB1E" w:rsidR="00E3489D" w:rsidRPr="007A4984" w:rsidRDefault="00BF5544" w:rsidP="00C3101A">
      <w:pPr>
        <w:pStyle w:val="ListParagraph"/>
        <w:numPr>
          <w:ilvl w:val="0"/>
          <w:numId w:val="1"/>
        </w:num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Memungkinkan analisis yang lebih komprehensif terhadap dinamika variabel-variabel ekonomi antar tahun dan antar daerah.</w:t>
      </w:r>
    </w:p>
    <w:p w14:paraId="3FEF3A2F" w14:textId="1C4A4DDE" w:rsidR="00927211" w:rsidRPr="007A4984" w:rsidRDefault="003943CF" w:rsidP="00927211">
      <w:pPr>
        <w:spacing w:after="0" w:line="360" w:lineRule="auto"/>
        <w:jc w:val="both"/>
        <w:rPr>
          <w:rFonts w:ascii="Palatino Linotype" w:hAnsi="Palatino Linotype" w:cs="Times New Roman"/>
          <w:color w:val="000000" w:themeColor="text1"/>
          <w:lang w:val="id-ID"/>
        </w:rPr>
      </w:pPr>
      <w:r w:rsidRPr="007A4984">
        <w:rPr>
          <w:rFonts w:ascii="Palatino Linotype" w:hAnsi="Palatino Linotype" w:cs="Times New Roman"/>
          <w:b/>
          <w:color w:val="000000" w:themeColor="text1"/>
          <w:lang w:val="id-ID"/>
        </w:rPr>
        <w:t>HASIL DAN PEMBAHASAN</w:t>
      </w:r>
      <w:bookmarkStart w:id="1" w:name="_Toc204721440"/>
    </w:p>
    <w:p w14:paraId="7DBCCB99" w14:textId="77777777" w:rsidR="00927211" w:rsidRPr="007A4984" w:rsidRDefault="00927211" w:rsidP="00927211">
      <w:pPr>
        <w:keepNext/>
        <w:keepLines/>
        <w:spacing w:after="0" w:line="360" w:lineRule="auto"/>
        <w:jc w:val="both"/>
        <w:outlineLvl w:val="1"/>
        <w:rPr>
          <w:rFonts w:ascii="Palatino Linotype" w:eastAsiaTheme="majorEastAsia" w:hAnsi="Palatino Linotype" w:cs="Times New Roman"/>
          <w:b/>
          <w:lang w:val="id-ID"/>
        </w:rPr>
      </w:pPr>
      <w:bookmarkStart w:id="2" w:name="_Toc204721441"/>
      <w:bookmarkEnd w:id="1"/>
      <w:r w:rsidRPr="007A4984">
        <w:rPr>
          <w:rFonts w:ascii="Palatino Linotype" w:eastAsiaTheme="majorEastAsia" w:hAnsi="Palatino Linotype" w:cstheme="majorBidi"/>
          <w:b/>
          <w:lang w:val="id-ID"/>
        </w:rPr>
        <w:t>Uji Deskriptif</w:t>
      </w:r>
      <w:bookmarkEnd w:id="2"/>
    </w:p>
    <w:p w14:paraId="4EDB98C7" w14:textId="2CDA355B" w:rsidR="00927211" w:rsidRPr="007A4984" w:rsidRDefault="00927211" w:rsidP="00927211">
      <w:pPr>
        <w:spacing w:after="0" w:line="360" w:lineRule="auto"/>
        <w:ind w:firstLine="589"/>
        <w:jc w:val="both"/>
        <w:rPr>
          <w:rFonts w:ascii="Palatino Linotype" w:hAnsi="Palatino Linotype" w:cs="Times New Roman"/>
          <w:lang w:val="id-ID"/>
        </w:rPr>
      </w:pPr>
      <w:r w:rsidRPr="007A4984">
        <w:rPr>
          <w:rFonts w:ascii="Palatino Linotype" w:hAnsi="Palatino Linotype" w:cs="Times New Roman"/>
          <w:lang w:val="id-ID"/>
        </w:rPr>
        <w:t>Statistik deskriptif penelitian adalah metode pengumpulan data yang memberikan informasi yang berguna untuk menganalisis data yang diteliti. Uji ini memuat statistik deskriptif mengenai variabel yang diteliti dan berikut hasil penyajian</w:t>
      </w:r>
      <w:r w:rsidR="00F0188D" w:rsidRPr="007A4984">
        <w:rPr>
          <w:rFonts w:ascii="Palatino Linotype" w:hAnsi="Palatino Linotype" w:cs="Times New Roman"/>
          <w:lang w:val="id-ID"/>
        </w:rPr>
        <w:t xml:space="preserve"> data. </w:t>
      </w:r>
    </w:p>
    <w:p w14:paraId="5980EF38" w14:textId="77777777" w:rsidR="00927211" w:rsidRPr="007A4984" w:rsidRDefault="00927211" w:rsidP="00927211">
      <w:pPr>
        <w:spacing w:after="0" w:line="360" w:lineRule="auto"/>
        <w:jc w:val="center"/>
        <w:rPr>
          <w:rFonts w:ascii="Palatino Linotype" w:hAnsi="Palatino Linotype" w:cs="Times New Roman"/>
          <w:b/>
          <w:bCs/>
          <w:lang w:val="id-ID"/>
        </w:rPr>
      </w:pPr>
      <w:bookmarkStart w:id="3" w:name="_Toc204721214"/>
      <w:r w:rsidRPr="007A4984">
        <w:rPr>
          <w:rFonts w:ascii="Palatino Linotype" w:hAnsi="Palatino Linotype" w:cs="Times New Roman"/>
          <w:b/>
          <w:bCs/>
          <w:lang w:val="id-ID"/>
        </w:rPr>
        <w:t>Tabel Statistik deskriptif data penelitian</w:t>
      </w:r>
      <w:bookmarkEnd w:id="3"/>
    </w:p>
    <w:tbl>
      <w:tblPr>
        <w:tblW w:w="4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07"/>
        <w:gridCol w:w="2118"/>
        <w:gridCol w:w="2224"/>
        <w:gridCol w:w="1589"/>
      </w:tblGrid>
      <w:tr w:rsidR="0046504C" w:rsidRPr="007A4984" w14:paraId="6D72CEA2" w14:textId="77777777" w:rsidTr="007B708A">
        <w:trPr>
          <w:trHeight w:val="266"/>
          <w:jc w:val="center"/>
        </w:trPr>
        <w:tc>
          <w:tcPr>
            <w:tcW w:w="1645" w:type="pct"/>
            <w:vAlign w:val="bottom"/>
          </w:tcPr>
          <w:p w14:paraId="42662AE2"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p>
        </w:tc>
        <w:tc>
          <w:tcPr>
            <w:tcW w:w="1198" w:type="pct"/>
            <w:vAlign w:val="bottom"/>
          </w:tcPr>
          <w:p w14:paraId="6487FD63"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KEMISKINAN</w:t>
            </w:r>
          </w:p>
        </w:tc>
        <w:tc>
          <w:tcPr>
            <w:tcW w:w="1258" w:type="pct"/>
            <w:vAlign w:val="bottom"/>
          </w:tcPr>
          <w:p w14:paraId="50109E46"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TPT</w:t>
            </w:r>
          </w:p>
        </w:tc>
        <w:tc>
          <w:tcPr>
            <w:tcW w:w="899" w:type="pct"/>
            <w:vAlign w:val="bottom"/>
          </w:tcPr>
          <w:p w14:paraId="2894BF12"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TPAK</w:t>
            </w:r>
          </w:p>
        </w:tc>
      </w:tr>
      <w:tr w:rsidR="0046504C" w:rsidRPr="007A4984" w14:paraId="5A38E7F8" w14:textId="77777777" w:rsidTr="007B708A">
        <w:trPr>
          <w:trHeight w:val="266"/>
          <w:jc w:val="center"/>
        </w:trPr>
        <w:tc>
          <w:tcPr>
            <w:tcW w:w="1645" w:type="pct"/>
            <w:vAlign w:val="bottom"/>
          </w:tcPr>
          <w:p w14:paraId="686E066C"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Mean</w:t>
            </w:r>
          </w:p>
        </w:tc>
        <w:tc>
          <w:tcPr>
            <w:tcW w:w="1198" w:type="pct"/>
            <w:vAlign w:val="bottom"/>
          </w:tcPr>
          <w:p w14:paraId="5FF95AE3"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15.01795</w:t>
            </w:r>
          </w:p>
        </w:tc>
        <w:tc>
          <w:tcPr>
            <w:tcW w:w="1258" w:type="pct"/>
            <w:vAlign w:val="bottom"/>
          </w:tcPr>
          <w:p w14:paraId="7C20A7C1"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5.515466</w:t>
            </w:r>
          </w:p>
        </w:tc>
        <w:tc>
          <w:tcPr>
            <w:tcW w:w="899" w:type="pct"/>
            <w:vAlign w:val="bottom"/>
          </w:tcPr>
          <w:p w14:paraId="0BD08988"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65.16379</w:t>
            </w:r>
          </w:p>
        </w:tc>
      </w:tr>
      <w:tr w:rsidR="0046504C" w:rsidRPr="007A4984" w14:paraId="48B4C5A4" w14:textId="77777777" w:rsidTr="007B708A">
        <w:trPr>
          <w:trHeight w:val="266"/>
          <w:jc w:val="center"/>
        </w:trPr>
        <w:tc>
          <w:tcPr>
            <w:tcW w:w="1645" w:type="pct"/>
            <w:vAlign w:val="bottom"/>
          </w:tcPr>
          <w:p w14:paraId="5427EC76"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Median</w:t>
            </w:r>
          </w:p>
        </w:tc>
        <w:tc>
          <w:tcPr>
            <w:tcW w:w="1198" w:type="pct"/>
            <w:vAlign w:val="bottom"/>
          </w:tcPr>
          <w:p w14:paraId="1AA73CC4"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15.84000</w:t>
            </w:r>
          </w:p>
        </w:tc>
        <w:tc>
          <w:tcPr>
            <w:tcW w:w="1258" w:type="pct"/>
            <w:vAlign w:val="bottom"/>
          </w:tcPr>
          <w:p w14:paraId="1CD2F323"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5.710000</w:t>
            </w:r>
          </w:p>
        </w:tc>
        <w:tc>
          <w:tcPr>
            <w:tcW w:w="899" w:type="pct"/>
            <w:vAlign w:val="bottom"/>
          </w:tcPr>
          <w:p w14:paraId="63C64793"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64.39000</w:t>
            </w:r>
          </w:p>
        </w:tc>
      </w:tr>
      <w:tr w:rsidR="0046504C" w:rsidRPr="007A4984" w14:paraId="0AAB8BB1" w14:textId="77777777" w:rsidTr="007B708A">
        <w:trPr>
          <w:trHeight w:val="266"/>
          <w:jc w:val="center"/>
        </w:trPr>
        <w:tc>
          <w:tcPr>
            <w:tcW w:w="1645" w:type="pct"/>
            <w:vAlign w:val="bottom"/>
          </w:tcPr>
          <w:p w14:paraId="5A0F0C5A"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Maximum</w:t>
            </w:r>
          </w:p>
        </w:tc>
        <w:tc>
          <w:tcPr>
            <w:tcW w:w="1198" w:type="pct"/>
            <w:vAlign w:val="bottom"/>
          </w:tcPr>
          <w:p w14:paraId="0E59C87E"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21.25000</w:t>
            </w:r>
          </w:p>
        </w:tc>
        <w:tc>
          <w:tcPr>
            <w:tcW w:w="1258" w:type="pct"/>
            <w:vAlign w:val="bottom"/>
          </w:tcPr>
          <w:p w14:paraId="256D3D8D"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10.14000</w:t>
            </w:r>
          </w:p>
        </w:tc>
        <w:tc>
          <w:tcPr>
            <w:tcW w:w="899" w:type="pct"/>
            <w:vAlign w:val="bottom"/>
          </w:tcPr>
          <w:p w14:paraId="6ADF1167"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79.98000</w:t>
            </w:r>
          </w:p>
        </w:tc>
      </w:tr>
      <w:tr w:rsidR="0046504C" w:rsidRPr="007A4984" w14:paraId="34AC7EB8" w14:textId="77777777" w:rsidTr="007B708A">
        <w:trPr>
          <w:trHeight w:val="266"/>
          <w:jc w:val="center"/>
        </w:trPr>
        <w:tc>
          <w:tcPr>
            <w:tcW w:w="1645" w:type="pct"/>
            <w:vAlign w:val="bottom"/>
          </w:tcPr>
          <w:p w14:paraId="721AAEBC"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Minimum</w:t>
            </w:r>
          </w:p>
        </w:tc>
        <w:tc>
          <w:tcPr>
            <w:tcW w:w="1198" w:type="pct"/>
            <w:vAlign w:val="bottom"/>
          </w:tcPr>
          <w:p w14:paraId="04AE4D4C"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6.160000</w:t>
            </w:r>
          </w:p>
        </w:tc>
        <w:tc>
          <w:tcPr>
            <w:tcW w:w="1258" w:type="pct"/>
            <w:vAlign w:val="bottom"/>
          </w:tcPr>
          <w:p w14:paraId="2DD81EC6"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1.340000</w:t>
            </w:r>
          </w:p>
        </w:tc>
        <w:tc>
          <w:tcPr>
            <w:tcW w:w="899" w:type="pct"/>
            <w:vAlign w:val="bottom"/>
          </w:tcPr>
          <w:p w14:paraId="57215451"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52.52000</w:t>
            </w:r>
          </w:p>
        </w:tc>
      </w:tr>
      <w:tr w:rsidR="0046504C" w:rsidRPr="007A4984" w14:paraId="52A0AE36" w14:textId="77777777" w:rsidTr="007B708A">
        <w:trPr>
          <w:trHeight w:val="266"/>
          <w:jc w:val="center"/>
        </w:trPr>
        <w:tc>
          <w:tcPr>
            <w:tcW w:w="1645" w:type="pct"/>
            <w:vAlign w:val="bottom"/>
          </w:tcPr>
          <w:p w14:paraId="588623C5"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Std. Dev.</w:t>
            </w:r>
          </w:p>
        </w:tc>
        <w:tc>
          <w:tcPr>
            <w:tcW w:w="1198" w:type="pct"/>
            <w:vAlign w:val="bottom"/>
          </w:tcPr>
          <w:p w14:paraId="2D172EFC"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4.055087</w:t>
            </w:r>
          </w:p>
        </w:tc>
        <w:tc>
          <w:tcPr>
            <w:tcW w:w="1258" w:type="pct"/>
            <w:vAlign w:val="bottom"/>
          </w:tcPr>
          <w:p w14:paraId="6D723B08"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2.049277</w:t>
            </w:r>
          </w:p>
        </w:tc>
        <w:tc>
          <w:tcPr>
            <w:tcW w:w="899" w:type="pct"/>
            <w:vAlign w:val="bottom"/>
          </w:tcPr>
          <w:p w14:paraId="524F98AB"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6.469499</w:t>
            </w:r>
          </w:p>
        </w:tc>
      </w:tr>
      <w:tr w:rsidR="0046504C" w:rsidRPr="007A4984" w14:paraId="1452B652" w14:textId="77777777" w:rsidTr="007B708A">
        <w:trPr>
          <w:trHeight w:val="266"/>
          <w:jc w:val="center"/>
        </w:trPr>
        <w:tc>
          <w:tcPr>
            <w:tcW w:w="1645" w:type="pct"/>
            <w:vAlign w:val="bottom"/>
          </w:tcPr>
          <w:p w14:paraId="79484281"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Skewness</w:t>
            </w:r>
          </w:p>
        </w:tc>
        <w:tc>
          <w:tcPr>
            <w:tcW w:w="1198" w:type="pct"/>
            <w:vAlign w:val="bottom"/>
          </w:tcPr>
          <w:p w14:paraId="642C367D"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-0.613114</w:t>
            </w:r>
          </w:p>
        </w:tc>
        <w:tc>
          <w:tcPr>
            <w:tcW w:w="1258" w:type="pct"/>
            <w:vAlign w:val="bottom"/>
          </w:tcPr>
          <w:p w14:paraId="0F333B58"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-0.026973</w:t>
            </w:r>
          </w:p>
        </w:tc>
        <w:tc>
          <w:tcPr>
            <w:tcW w:w="899" w:type="pct"/>
            <w:vAlign w:val="bottom"/>
          </w:tcPr>
          <w:p w14:paraId="3B7861F5"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0.402181</w:t>
            </w:r>
          </w:p>
        </w:tc>
      </w:tr>
      <w:tr w:rsidR="0046504C" w:rsidRPr="007A4984" w14:paraId="70911559" w14:textId="77777777" w:rsidTr="007B708A">
        <w:trPr>
          <w:trHeight w:val="266"/>
          <w:jc w:val="center"/>
        </w:trPr>
        <w:tc>
          <w:tcPr>
            <w:tcW w:w="1645" w:type="pct"/>
            <w:vAlign w:val="bottom"/>
          </w:tcPr>
          <w:p w14:paraId="442911C0"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Kurtosis</w:t>
            </w:r>
          </w:p>
        </w:tc>
        <w:tc>
          <w:tcPr>
            <w:tcW w:w="1198" w:type="pct"/>
            <w:vAlign w:val="bottom"/>
          </w:tcPr>
          <w:p w14:paraId="769AC1CC"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2.358020</w:t>
            </w:r>
          </w:p>
        </w:tc>
        <w:tc>
          <w:tcPr>
            <w:tcW w:w="1258" w:type="pct"/>
            <w:vAlign w:val="bottom"/>
          </w:tcPr>
          <w:p w14:paraId="2A09A127"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1.895805</w:t>
            </w:r>
          </w:p>
        </w:tc>
        <w:tc>
          <w:tcPr>
            <w:tcW w:w="899" w:type="pct"/>
            <w:vAlign w:val="bottom"/>
          </w:tcPr>
          <w:p w14:paraId="4E781A2D"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2.245098</w:t>
            </w:r>
          </w:p>
        </w:tc>
      </w:tr>
      <w:tr w:rsidR="0046504C" w:rsidRPr="007A4984" w14:paraId="7A8BBC3C" w14:textId="77777777" w:rsidTr="007B708A">
        <w:trPr>
          <w:trHeight w:val="266"/>
          <w:jc w:val="center"/>
        </w:trPr>
        <w:tc>
          <w:tcPr>
            <w:tcW w:w="1645" w:type="pct"/>
            <w:vAlign w:val="bottom"/>
          </w:tcPr>
          <w:p w14:paraId="36E8B551"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Jarque-Bera</w:t>
            </w:r>
          </w:p>
        </w:tc>
        <w:tc>
          <w:tcPr>
            <w:tcW w:w="1198" w:type="pct"/>
            <w:vAlign w:val="bottom"/>
          </w:tcPr>
          <w:p w14:paraId="1880BBCB"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12.85163</w:t>
            </w:r>
          </w:p>
        </w:tc>
        <w:tc>
          <w:tcPr>
            <w:tcW w:w="1258" w:type="pct"/>
            <w:vAlign w:val="bottom"/>
          </w:tcPr>
          <w:p w14:paraId="1DB12CA5"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8.198628</w:t>
            </w:r>
          </w:p>
        </w:tc>
        <w:tc>
          <w:tcPr>
            <w:tcW w:w="899" w:type="pct"/>
            <w:vAlign w:val="bottom"/>
          </w:tcPr>
          <w:p w14:paraId="310A7DE0"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8.163202</w:t>
            </w:r>
          </w:p>
        </w:tc>
      </w:tr>
      <w:tr w:rsidR="0046504C" w:rsidRPr="007A4984" w14:paraId="35362DDD" w14:textId="77777777" w:rsidTr="007B708A">
        <w:trPr>
          <w:trHeight w:val="266"/>
          <w:jc w:val="center"/>
        </w:trPr>
        <w:tc>
          <w:tcPr>
            <w:tcW w:w="1645" w:type="pct"/>
            <w:vAlign w:val="bottom"/>
          </w:tcPr>
          <w:p w14:paraId="5DC13D09"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Probability</w:t>
            </w:r>
          </w:p>
        </w:tc>
        <w:tc>
          <w:tcPr>
            <w:tcW w:w="1198" w:type="pct"/>
            <w:vAlign w:val="bottom"/>
          </w:tcPr>
          <w:p w14:paraId="594F6A0B"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0.001619</w:t>
            </w:r>
          </w:p>
        </w:tc>
        <w:tc>
          <w:tcPr>
            <w:tcW w:w="1258" w:type="pct"/>
            <w:vAlign w:val="bottom"/>
          </w:tcPr>
          <w:p w14:paraId="56A417CA"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0.016584</w:t>
            </w:r>
          </w:p>
        </w:tc>
        <w:tc>
          <w:tcPr>
            <w:tcW w:w="899" w:type="pct"/>
            <w:vAlign w:val="bottom"/>
          </w:tcPr>
          <w:p w14:paraId="70317A85"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0.016880</w:t>
            </w:r>
          </w:p>
        </w:tc>
      </w:tr>
      <w:tr w:rsidR="0046504C" w:rsidRPr="007A4984" w14:paraId="702884DB" w14:textId="77777777" w:rsidTr="007B708A">
        <w:trPr>
          <w:trHeight w:val="266"/>
          <w:jc w:val="center"/>
        </w:trPr>
        <w:tc>
          <w:tcPr>
            <w:tcW w:w="1645" w:type="pct"/>
            <w:vAlign w:val="bottom"/>
          </w:tcPr>
          <w:p w14:paraId="3C757EC6"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Sum</w:t>
            </w:r>
          </w:p>
        </w:tc>
        <w:tc>
          <w:tcPr>
            <w:tcW w:w="1198" w:type="pct"/>
            <w:vAlign w:val="bottom"/>
          </w:tcPr>
          <w:p w14:paraId="028D5178"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2417.890</w:t>
            </w:r>
          </w:p>
        </w:tc>
        <w:tc>
          <w:tcPr>
            <w:tcW w:w="1258" w:type="pct"/>
            <w:vAlign w:val="bottom"/>
          </w:tcPr>
          <w:p w14:paraId="027B0C6A"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887.9900</w:t>
            </w:r>
          </w:p>
        </w:tc>
        <w:tc>
          <w:tcPr>
            <w:tcW w:w="899" w:type="pct"/>
            <w:vAlign w:val="bottom"/>
          </w:tcPr>
          <w:p w14:paraId="4597EB3E"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10491.37</w:t>
            </w:r>
          </w:p>
        </w:tc>
      </w:tr>
      <w:tr w:rsidR="0046504C" w:rsidRPr="007A4984" w14:paraId="1BC48BAC" w14:textId="77777777" w:rsidTr="007B708A">
        <w:trPr>
          <w:trHeight w:val="266"/>
          <w:jc w:val="center"/>
        </w:trPr>
        <w:tc>
          <w:tcPr>
            <w:tcW w:w="1645" w:type="pct"/>
            <w:vAlign w:val="bottom"/>
          </w:tcPr>
          <w:p w14:paraId="5D7DA7DD"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Sum Sq. Dev.</w:t>
            </w:r>
          </w:p>
        </w:tc>
        <w:tc>
          <w:tcPr>
            <w:tcW w:w="1198" w:type="pct"/>
            <w:vAlign w:val="bottom"/>
          </w:tcPr>
          <w:p w14:paraId="389DAF1D"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2630.997</w:t>
            </w:r>
          </w:p>
        </w:tc>
        <w:tc>
          <w:tcPr>
            <w:tcW w:w="1258" w:type="pct"/>
            <w:vAlign w:val="bottom"/>
          </w:tcPr>
          <w:p w14:paraId="1453BF9C"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671.9256</w:t>
            </w:r>
          </w:p>
        </w:tc>
        <w:tc>
          <w:tcPr>
            <w:tcW w:w="899" w:type="pct"/>
            <w:vAlign w:val="bottom"/>
          </w:tcPr>
          <w:p w14:paraId="6BEA6F81"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6696.707</w:t>
            </w:r>
          </w:p>
        </w:tc>
      </w:tr>
      <w:tr w:rsidR="0046504C" w:rsidRPr="007A4984" w14:paraId="53E7977B" w14:textId="77777777" w:rsidTr="007B708A">
        <w:trPr>
          <w:trHeight w:val="266"/>
          <w:jc w:val="center"/>
        </w:trPr>
        <w:tc>
          <w:tcPr>
            <w:tcW w:w="1645" w:type="pct"/>
            <w:vAlign w:val="bottom"/>
          </w:tcPr>
          <w:p w14:paraId="4FB1C75E"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Observations</w:t>
            </w:r>
          </w:p>
        </w:tc>
        <w:tc>
          <w:tcPr>
            <w:tcW w:w="1198" w:type="pct"/>
            <w:vAlign w:val="bottom"/>
          </w:tcPr>
          <w:p w14:paraId="723A33F1"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161</w:t>
            </w:r>
          </w:p>
        </w:tc>
        <w:tc>
          <w:tcPr>
            <w:tcW w:w="1258" w:type="pct"/>
            <w:vAlign w:val="bottom"/>
          </w:tcPr>
          <w:p w14:paraId="3DE799BD"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161</w:t>
            </w:r>
          </w:p>
        </w:tc>
        <w:tc>
          <w:tcPr>
            <w:tcW w:w="899" w:type="pct"/>
            <w:vAlign w:val="bottom"/>
          </w:tcPr>
          <w:p w14:paraId="7901C4CB" w14:textId="77777777" w:rsidR="00927211" w:rsidRPr="007A4984" w:rsidRDefault="00927211" w:rsidP="00E44CA5">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 161</w:t>
            </w:r>
          </w:p>
        </w:tc>
      </w:tr>
    </w:tbl>
    <w:p w14:paraId="76AB2D8F" w14:textId="224CA2B5" w:rsidR="00927211" w:rsidRPr="007A4984" w:rsidRDefault="007B708A" w:rsidP="007B708A">
      <w:pPr>
        <w:spacing w:after="0" w:line="360" w:lineRule="auto"/>
        <w:jc w:val="both"/>
        <w:rPr>
          <w:rFonts w:ascii="Palatino Linotype" w:hAnsi="Palatino Linotype" w:cs="Times New Roman"/>
          <w:lang w:val="id-ID"/>
        </w:rPr>
      </w:pPr>
      <w:r w:rsidRPr="007A4984">
        <w:rPr>
          <w:rFonts w:ascii="Palatino Linotype" w:hAnsi="Palatino Linotype" w:cs="Times New Roman"/>
          <w:i/>
          <w:iCs/>
          <w:lang w:val="id-ID"/>
        </w:rPr>
        <w:t xml:space="preserve">    </w:t>
      </w:r>
      <w:r w:rsidR="00927211" w:rsidRPr="007A4984">
        <w:rPr>
          <w:rFonts w:ascii="Palatino Linotype" w:hAnsi="Palatino Linotype" w:cs="Times New Roman"/>
          <w:i/>
          <w:iCs/>
          <w:lang w:val="id-ID"/>
        </w:rPr>
        <w:t>Sumber:Data Diolah Eviews 12,(2025)</w:t>
      </w:r>
    </w:p>
    <w:p w14:paraId="22535570" w14:textId="6DBD5B94" w:rsidR="00927211" w:rsidRPr="007A4984" w:rsidRDefault="00927211" w:rsidP="00F210F1">
      <w:pPr>
        <w:spacing w:after="0" w:line="360" w:lineRule="auto"/>
        <w:ind w:firstLine="720"/>
        <w:jc w:val="both"/>
        <w:rPr>
          <w:rFonts w:ascii="Palatino Linotype" w:hAnsi="Palatino Linotype" w:cs="Times New Roman"/>
          <w:color w:val="000000"/>
          <w:lang w:val="id-ID"/>
        </w:rPr>
      </w:pPr>
      <w:r w:rsidRPr="007A4984">
        <w:rPr>
          <w:rFonts w:ascii="Palatino Linotype" w:hAnsi="Palatino Linotype" w:cs="Times New Roman"/>
          <w:lang w:val="id-ID"/>
        </w:rPr>
        <w:t>Gambaran secara umum variabel-variabel yang digunakan dalam penelitian. Kemiskinan memiliki nilai rata-rata (</w:t>
      </w:r>
      <w:r w:rsidRPr="007A4984">
        <w:rPr>
          <w:rFonts w:ascii="Palatino Linotype" w:hAnsi="Palatino Linotype" w:cs="Times New Roman"/>
          <w:i/>
          <w:iCs/>
          <w:lang w:val="id-ID"/>
        </w:rPr>
        <w:t xml:space="preserve">mean) </w:t>
      </w:r>
      <w:r w:rsidRPr="007A4984">
        <w:rPr>
          <w:rFonts w:ascii="Palatino Linotype" w:hAnsi="Palatino Linotype" w:cs="Times New Roman"/>
          <w:lang w:val="id-ID"/>
        </w:rPr>
        <w:t xml:space="preserve">sebesar </w:t>
      </w:r>
      <w:r w:rsidRPr="007A4984">
        <w:rPr>
          <w:rFonts w:ascii="Palatino Linotype" w:hAnsi="Palatino Linotype" w:cs="Times New Roman"/>
          <w:color w:val="000000"/>
          <w:lang w:val="id-ID"/>
        </w:rPr>
        <w:t>15.01795</w:t>
      </w:r>
      <w:r w:rsidRPr="007A4984">
        <w:rPr>
          <w:rFonts w:ascii="Palatino Linotype" w:hAnsi="Palatino Linotype" w:cs="Times New Roman"/>
          <w:lang w:val="id-ID"/>
        </w:rPr>
        <w:t>. dengan nilai nilai terbesar (</w:t>
      </w:r>
      <w:r w:rsidRPr="007A4984">
        <w:rPr>
          <w:rFonts w:ascii="Palatino Linotype" w:hAnsi="Palatino Linotype" w:cs="Times New Roman"/>
          <w:i/>
          <w:iCs/>
          <w:lang w:val="id-ID"/>
        </w:rPr>
        <w:t>maximum)</w:t>
      </w:r>
      <w:r w:rsidRPr="007A4984">
        <w:rPr>
          <w:rFonts w:ascii="Palatino Linotype" w:hAnsi="Palatino Linotype" w:cs="Times New Roman"/>
          <w:lang w:val="id-ID"/>
        </w:rPr>
        <w:t xml:space="preserve"> sebesar </w:t>
      </w:r>
      <w:r w:rsidRPr="007A4984">
        <w:rPr>
          <w:rFonts w:ascii="Palatino Linotype" w:hAnsi="Palatino Linotype" w:cs="Times New Roman"/>
          <w:color w:val="000000"/>
          <w:lang w:val="id-ID"/>
        </w:rPr>
        <w:t> 21.25000</w:t>
      </w:r>
      <w:r w:rsidRPr="007A4984">
        <w:rPr>
          <w:rFonts w:ascii="Palatino Linotype" w:hAnsi="Palatino Linotype" w:cs="Times New Roman"/>
          <w:lang w:val="id-ID"/>
        </w:rPr>
        <w:t xml:space="preserve"> dan nilai terkecil (</w:t>
      </w:r>
      <w:r w:rsidRPr="007A4984">
        <w:rPr>
          <w:rFonts w:ascii="Palatino Linotype" w:hAnsi="Palatino Linotype" w:cs="Times New Roman"/>
          <w:i/>
          <w:iCs/>
          <w:lang w:val="id-ID"/>
        </w:rPr>
        <w:t>minimum</w:t>
      </w:r>
      <w:r w:rsidRPr="007A4984">
        <w:rPr>
          <w:rFonts w:ascii="Palatino Linotype" w:hAnsi="Palatino Linotype" w:cs="Times New Roman"/>
          <w:lang w:val="id-ID"/>
        </w:rPr>
        <w:t>)</w:t>
      </w:r>
      <w:r w:rsidRPr="007A4984">
        <w:rPr>
          <w:rFonts w:ascii="Palatino Linotype" w:hAnsi="Palatino Linotype" w:cs="Times New Roman"/>
          <w:i/>
          <w:iCs/>
          <w:lang w:val="id-ID"/>
        </w:rPr>
        <w:t xml:space="preserve"> </w:t>
      </w:r>
      <w:r w:rsidRPr="007A4984">
        <w:rPr>
          <w:rFonts w:ascii="Palatino Linotype" w:hAnsi="Palatino Linotype" w:cs="Times New Roman"/>
          <w:lang w:val="id-ID"/>
        </w:rPr>
        <w:t xml:space="preserve">sebesar </w:t>
      </w:r>
      <w:r w:rsidRPr="007A4984">
        <w:rPr>
          <w:rFonts w:ascii="Palatino Linotype" w:hAnsi="Palatino Linotype" w:cs="Times New Roman"/>
          <w:color w:val="000000"/>
          <w:lang w:val="id-ID"/>
        </w:rPr>
        <w:t>6.160000</w:t>
      </w:r>
      <w:r w:rsidRPr="007A4984">
        <w:rPr>
          <w:rFonts w:ascii="Palatino Linotype" w:hAnsi="Palatino Linotype" w:cs="Times New Roman"/>
          <w:lang w:val="id-ID"/>
        </w:rPr>
        <w:t xml:space="preserve">. serta nilai standar deviasi sebesar </w:t>
      </w:r>
      <w:r w:rsidRPr="007A4984">
        <w:rPr>
          <w:rFonts w:ascii="Palatino Linotype" w:hAnsi="Palatino Linotype" w:cs="Times New Roman"/>
          <w:color w:val="000000"/>
          <w:lang w:val="id-ID"/>
        </w:rPr>
        <w:t> 4.055087</w:t>
      </w:r>
      <w:r w:rsidRPr="007A4984">
        <w:rPr>
          <w:rFonts w:ascii="Palatino Linotype" w:hAnsi="Palatino Linotype" w:cs="Times New Roman"/>
          <w:lang w:val="id-ID"/>
        </w:rPr>
        <w:t xml:space="preserve">. Nilai rata-rata Tingkat Pengangguran Terbuka adalah sebesar </w:t>
      </w:r>
      <w:r w:rsidRPr="007A4984">
        <w:rPr>
          <w:rFonts w:ascii="Palatino Linotype" w:hAnsi="Palatino Linotype" w:cs="Times New Roman"/>
          <w:color w:val="000000"/>
          <w:lang w:val="id-ID"/>
        </w:rPr>
        <w:t>5.515466. dengan nilai terbesar 10.14000 dan terkecil sebesar 1.340000. serta nilai standar deviasi sebesar 2.049277. Nilai rata-rata Tingkat Partisipasi Angkatan Kerja adalah sebesar  65.16379. dengan nilai terbesar 79.98000 dan terkecil 52.52000 serta nilai standar deviasi sebesar  6.469499.</w:t>
      </w:r>
    </w:p>
    <w:p w14:paraId="78979C13" w14:textId="77777777" w:rsidR="00927211" w:rsidRPr="007A4984" w:rsidRDefault="00927211" w:rsidP="0046504C">
      <w:pPr>
        <w:keepNext/>
        <w:keepLines/>
        <w:spacing w:after="0" w:line="360" w:lineRule="auto"/>
        <w:jc w:val="both"/>
        <w:outlineLvl w:val="1"/>
        <w:rPr>
          <w:rFonts w:ascii="Palatino Linotype" w:eastAsiaTheme="majorEastAsia" w:hAnsi="Palatino Linotype" w:cs="Times New Roman"/>
          <w:b/>
          <w:lang w:val="id-ID"/>
        </w:rPr>
      </w:pPr>
      <w:bookmarkStart w:id="4" w:name="_Toc204721445"/>
      <w:r w:rsidRPr="007A4984">
        <w:rPr>
          <w:rFonts w:ascii="Palatino Linotype" w:eastAsiaTheme="majorEastAsia" w:hAnsi="Palatino Linotype" w:cs="Times New Roman"/>
          <w:b/>
          <w:lang w:val="id-ID"/>
        </w:rPr>
        <w:t>Pemilihan Model Terbaik</w:t>
      </w:r>
      <w:bookmarkEnd w:id="4"/>
      <w:r w:rsidRPr="007A4984">
        <w:rPr>
          <w:rFonts w:ascii="Palatino Linotype" w:eastAsiaTheme="majorEastAsia" w:hAnsi="Palatino Linotype" w:cs="Times New Roman"/>
          <w:b/>
          <w:lang w:val="id-ID"/>
        </w:rPr>
        <w:t xml:space="preserve"> </w:t>
      </w:r>
    </w:p>
    <w:p w14:paraId="6B4B6BA0" w14:textId="77777777" w:rsidR="00927211" w:rsidRPr="007A4984" w:rsidRDefault="00927211" w:rsidP="00927211">
      <w:pPr>
        <w:tabs>
          <w:tab w:val="left" w:pos="142"/>
        </w:tabs>
        <w:spacing w:after="0" w:line="360" w:lineRule="auto"/>
        <w:ind w:firstLine="567"/>
        <w:jc w:val="both"/>
        <w:rPr>
          <w:rFonts w:ascii="Palatino Linotype" w:hAnsi="Palatino Linotype" w:cs="Times New Roman"/>
          <w:color w:val="000000"/>
          <w:lang w:val="id-ID"/>
        </w:rPr>
      </w:pPr>
      <w:r w:rsidRPr="007A4984">
        <w:rPr>
          <w:rFonts w:ascii="Palatino Linotype" w:hAnsi="Palatino Linotype" w:cs="Times New Roman"/>
          <w:color w:val="000000"/>
          <w:lang w:val="id-ID"/>
        </w:rPr>
        <w:t>Langkah kedua adalah menentukan metode terbaik diantara ketiga metode perhitungan yang sudah dilakukan. Berikut hasil pengujian model:</w:t>
      </w:r>
    </w:p>
    <w:p w14:paraId="7229DD58" w14:textId="77777777" w:rsidR="00F210F1" w:rsidRPr="007A4984" w:rsidRDefault="00F210F1" w:rsidP="00927211">
      <w:pPr>
        <w:tabs>
          <w:tab w:val="left" w:pos="142"/>
        </w:tabs>
        <w:spacing w:after="0" w:line="360" w:lineRule="auto"/>
        <w:ind w:firstLine="567"/>
        <w:jc w:val="both"/>
        <w:rPr>
          <w:rFonts w:ascii="Palatino Linotype" w:hAnsi="Palatino Linotype" w:cs="Times New Roman"/>
          <w:color w:val="000000"/>
          <w:lang w:val="id-ID"/>
        </w:rPr>
      </w:pPr>
    </w:p>
    <w:p w14:paraId="65BA9F26" w14:textId="7E215D18" w:rsidR="00F210F1" w:rsidRPr="007A4984" w:rsidRDefault="00927211" w:rsidP="0046504C">
      <w:pPr>
        <w:keepNext/>
        <w:keepLines/>
        <w:spacing w:after="0" w:line="360" w:lineRule="auto"/>
        <w:jc w:val="both"/>
        <w:outlineLvl w:val="2"/>
        <w:rPr>
          <w:rFonts w:ascii="Palatino Linotype" w:eastAsiaTheme="majorEastAsia" w:hAnsi="Palatino Linotype" w:cstheme="majorBidi"/>
          <w:b/>
          <w:i/>
          <w:iCs/>
          <w:lang w:val="id-ID"/>
        </w:rPr>
      </w:pPr>
      <w:bookmarkStart w:id="5" w:name="_Toc204721446"/>
      <w:r w:rsidRPr="007A4984">
        <w:rPr>
          <w:rFonts w:ascii="Palatino Linotype" w:eastAsiaTheme="majorEastAsia" w:hAnsi="Palatino Linotype" w:cstheme="majorBidi"/>
          <w:b/>
          <w:i/>
          <w:iCs/>
          <w:lang w:val="id-ID"/>
        </w:rPr>
        <w:lastRenderedPageBreak/>
        <w:t>Uji Chow</w:t>
      </w:r>
      <w:bookmarkEnd w:id="5"/>
      <w:r w:rsidRPr="007A4984">
        <w:rPr>
          <w:rFonts w:ascii="Palatino Linotype" w:eastAsiaTheme="majorEastAsia" w:hAnsi="Palatino Linotype" w:cstheme="majorBidi"/>
          <w:b/>
          <w:i/>
          <w:iCs/>
          <w:lang w:val="id-ID"/>
        </w:rPr>
        <w:t xml:space="preserve"> </w:t>
      </w:r>
    </w:p>
    <w:p w14:paraId="74D3B1F2" w14:textId="653BE54D" w:rsidR="00927211" w:rsidRPr="007A4984" w:rsidRDefault="00927211" w:rsidP="0046504C">
      <w:pPr>
        <w:tabs>
          <w:tab w:val="left" w:pos="142"/>
        </w:tabs>
        <w:spacing w:after="0" w:line="360" w:lineRule="auto"/>
        <w:jc w:val="center"/>
        <w:rPr>
          <w:rFonts w:ascii="Palatino Linotype" w:hAnsi="Palatino Linotype" w:cs="Times New Roman"/>
          <w:b/>
          <w:bCs/>
          <w:color w:val="000000"/>
          <w:lang w:val="id-ID"/>
        </w:rPr>
      </w:pPr>
      <w:bookmarkStart w:id="6" w:name="_Toc204721218"/>
      <w:r w:rsidRPr="007A4984">
        <w:rPr>
          <w:rFonts w:ascii="Palatino Linotype" w:hAnsi="Palatino Linotype" w:cs="Times New Roman"/>
          <w:b/>
          <w:bCs/>
          <w:lang w:val="id-ID"/>
        </w:rPr>
        <w:t>Tabel</w:t>
      </w:r>
      <w:r w:rsidR="0046504C" w:rsidRPr="007A4984">
        <w:rPr>
          <w:rFonts w:ascii="Palatino Linotype" w:hAnsi="Palatino Linotype" w:cs="Times New Roman"/>
          <w:b/>
          <w:bCs/>
          <w:lang w:val="id-ID"/>
        </w:rPr>
        <w:t xml:space="preserve"> </w:t>
      </w:r>
      <w:r w:rsidRPr="007A4984">
        <w:rPr>
          <w:rFonts w:ascii="Palatino Linotype" w:hAnsi="Palatino Linotype" w:cs="Times New Roman"/>
          <w:b/>
          <w:bCs/>
          <w:color w:val="000000"/>
          <w:lang w:val="id-ID"/>
        </w:rPr>
        <w:t xml:space="preserve">Hasil </w:t>
      </w:r>
      <w:r w:rsidRPr="007A4984">
        <w:rPr>
          <w:rFonts w:ascii="Palatino Linotype" w:hAnsi="Palatino Linotype" w:cs="Times New Roman"/>
          <w:b/>
          <w:bCs/>
          <w:i/>
          <w:iCs/>
          <w:color w:val="000000"/>
          <w:lang w:val="id-ID"/>
        </w:rPr>
        <w:t>Uji Chow</w:t>
      </w:r>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49"/>
        <w:gridCol w:w="1901"/>
        <w:gridCol w:w="1721"/>
        <w:gridCol w:w="1096"/>
      </w:tblGrid>
      <w:tr w:rsidR="00927211" w:rsidRPr="007A4984" w14:paraId="1B88D11E" w14:textId="77777777" w:rsidTr="007A4984">
        <w:trPr>
          <w:trHeight w:val="243"/>
          <w:jc w:val="center"/>
        </w:trPr>
        <w:tc>
          <w:tcPr>
            <w:tcW w:w="3349" w:type="dxa"/>
            <w:vAlign w:val="bottom"/>
          </w:tcPr>
          <w:p w14:paraId="4ED80500"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Effects Test</w:t>
            </w:r>
          </w:p>
        </w:tc>
        <w:tc>
          <w:tcPr>
            <w:tcW w:w="1901" w:type="dxa"/>
            <w:vAlign w:val="bottom"/>
          </w:tcPr>
          <w:p w14:paraId="5044C061"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Statistic  </w:t>
            </w:r>
          </w:p>
        </w:tc>
        <w:tc>
          <w:tcPr>
            <w:tcW w:w="1721" w:type="dxa"/>
            <w:vAlign w:val="bottom"/>
          </w:tcPr>
          <w:p w14:paraId="789536A1"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d.f. </w:t>
            </w:r>
          </w:p>
        </w:tc>
        <w:tc>
          <w:tcPr>
            <w:tcW w:w="1096" w:type="dxa"/>
            <w:vAlign w:val="bottom"/>
          </w:tcPr>
          <w:p w14:paraId="0F5DC630"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Prob. </w:t>
            </w:r>
          </w:p>
        </w:tc>
      </w:tr>
      <w:tr w:rsidR="00927211" w:rsidRPr="007A4984" w14:paraId="1B108985" w14:textId="77777777" w:rsidTr="007A4984">
        <w:trPr>
          <w:trHeight w:val="243"/>
          <w:jc w:val="center"/>
        </w:trPr>
        <w:tc>
          <w:tcPr>
            <w:tcW w:w="3349" w:type="dxa"/>
            <w:vAlign w:val="bottom"/>
          </w:tcPr>
          <w:p w14:paraId="331072B9"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Cross-section F</w:t>
            </w:r>
          </w:p>
        </w:tc>
        <w:tc>
          <w:tcPr>
            <w:tcW w:w="1901" w:type="dxa"/>
            <w:vAlign w:val="bottom"/>
          </w:tcPr>
          <w:p w14:paraId="190DE42C"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0.789675</w:t>
            </w:r>
          </w:p>
        </w:tc>
        <w:tc>
          <w:tcPr>
            <w:tcW w:w="1721" w:type="dxa"/>
            <w:vAlign w:val="bottom"/>
          </w:tcPr>
          <w:p w14:paraId="44F731F8"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(22,136)</w:t>
            </w:r>
          </w:p>
        </w:tc>
        <w:tc>
          <w:tcPr>
            <w:tcW w:w="1096" w:type="dxa"/>
            <w:vAlign w:val="bottom"/>
          </w:tcPr>
          <w:p w14:paraId="5A44C398"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0.7339</w:t>
            </w:r>
          </w:p>
        </w:tc>
      </w:tr>
      <w:tr w:rsidR="00927211" w:rsidRPr="007A4984" w14:paraId="520DE3F6" w14:textId="77777777" w:rsidTr="007A4984">
        <w:trPr>
          <w:trHeight w:val="243"/>
          <w:jc w:val="center"/>
        </w:trPr>
        <w:tc>
          <w:tcPr>
            <w:tcW w:w="3349" w:type="dxa"/>
            <w:vAlign w:val="bottom"/>
          </w:tcPr>
          <w:p w14:paraId="64786AFC"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Cross-section Chi-square</w:t>
            </w:r>
          </w:p>
        </w:tc>
        <w:tc>
          <w:tcPr>
            <w:tcW w:w="1901" w:type="dxa"/>
            <w:vAlign w:val="bottom"/>
          </w:tcPr>
          <w:p w14:paraId="7AAD442C"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19.354928</w:t>
            </w:r>
          </w:p>
        </w:tc>
        <w:tc>
          <w:tcPr>
            <w:tcW w:w="1721" w:type="dxa"/>
            <w:vAlign w:val="bottom"/>
          </w:tcPr>
          <w:p w14:paraId="641D4B23"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22</w:t>
            </w:r>
          </w:p>
        </w:tc>
        <w:tc>
          <w:tcPr>
            <w:tcW w:w="1096" w:type="dxa"/>
            <w:vAlign w:val="bottom"/>
          </w:tcPr>
          <w:p w14:paraId="52D860FE"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0.6233</w:t>
            </w:r>
          </w:p>
        </w:tc>
      </w:tr>
    </w:tbl>
    <w:p w14:paraId="3210BF42" w14:textId="26EA9860" w:rsidR="00927211" w:rsidRPr="007A4984" w:rsidRDefault="00963D90" w:rsidP="00927211">
      <w:pPr>
        <w:tabs>
          <w:tab w:val="left" w:pos="142"/>
        </w:tabs>
        <w:spacing w:after="0" w:line="360" w:lineRule="auto"/>
        <w:jc w:val="both"/>
        <w:rPr>
          <w:rFonts w:ascii="Palatino Linotype" w:hAnsi="Palatino Linotype" w:cs="Times New Roman"/>
          <w:b/>
          <w:bCs/>
          <w:color w:val="000000"/>
          <w:lang w:val="id-ID"/>
        </w:rPr>
      </w:pPr>
      <w:r w:rsidRPr="007A4984">
        <w:rPr>
          <w:rFonts w:ascii="Palatino Linotype" w:hAnsi="Palatino Linotype" w:cs="Times New Roman"/>
          <w:b/>
          <w:bCs/>
          <w:color w:val="000000"/>
          <w:lang w:val="id-ID"/>
        </w:rPr>
        <w:tab/>
      </w:r>
      <w:r w:rsidRPr="007A4984">
        <w:rPr>
          <w:rFonts w:ascii="Palatino Linotype" w:hAnsi="Palatino Linotype" w:cs="Times New Roman"/>
          <w:b/>
          <w:bCs/>
          <w:color w:val="000000"/>
          <w:lang w:val="id-ID"/>
        </w:rPr>
        <w:tab/>
      </w:r>
      <w:r w:rsidRPr="007A4984">
        <w:rPr>
          <w:rFonts w:ascii="Palatino Linotype" w:hAnsi="Palatino Linotype" w:cs="Times New Roman"/>
          <w:i/>
          <w:iCs/>
          <w:color w:val="000000"/>
          <w:lang w:val="id-ID"/>
        </w:rPr>
        <w:t xml:space="preserve">Sumber: data diolah </w:t>
      </w:r>
      <w:r w:rsidR="00F91B61" w:rsidRPr="007A4984">
        <w:rPr>
          <w:rFonts w:ascii="Palatino Linotype" w:hAnsi="Palatino Linotype" w:cs="Times New Roman"/>
          <w:i/>
          <w:iCs/>
          <w:lang w:val="id-ID"/>
        </w:rPr>
        <w:t>Eviews 12,(2025)</w:t>
      </w:r>
    </w:p>
    <w:p w14:paraId="7C10CCD9" w14:textId="7C368499" w:rsidR="00927211" w:rsidRPr="007A4984" w:rsidRDefault="00927211" w:rsidP="00927211">
      <w:pPr>
        <w:spacing w:after="0" w:line="360" w:lineRule="auto"/>
        <w:jc w:val="both"/>
        <w:rPr>
          <w:rFonts w:ascii="Palatino Linotype" w:hAnsi="Palatino Linotype" w:cs="Times New Roman"/>
          <w:lang w:val="id-ID"/>
        </w:rPr>
      </w:pPr>
      <w:r w:rsidRPr="007A4984">
        <w:rPr>
          <w:rFonts w:ascii="Palatino Linotype" w:hAnsi="Palatino Linotype" w:cs="Times New Roman"/>
          <w:lang w:val="id-ID"/>
        </w:rPr>
        <w:t xml:space="preserve">Dari uji chow diperoleh nilai probability sebesar </w:t>
      </w:r>
      <w:r w:rsidRPr="007A4984">
        <w:rPr>
          <w:rFonts w:ascii="Palatino Linotype" w:hAnsi="Palatino Linotype" w:cs="Times New Roman"/>
          <w:color w:val="000000"/>
          <w:lang w:val="id-ID"/>
        </w:rPr>
        <w:t>0.7339</w:t>
      </w:r>
      <w:r w:rsidRPr="007A4984">
        <w:rPr>
          <w:rFonts w:ascii="Palatino Linotype" w:hAnsi="Palatino Linotype" w:cs="Times New Roman"/>
          <w:lang w:val="id-ID"/>
        </w:rPr>
        <w:t xml:space="preserve">&gt; 0,05. Dengan demikian model terbaik dari </w:t>
      </w:r>
      <w:r w:rsidRPr="007A4984">
        <w:rPr>
          <w:rFonts w:ascii="Palatino Linotype" w:hAnsi="Palatino Linotype" w:cs="Times New Roman"/>
          <w:i/>
          <w:iCs/>
          <w:lang w:val="id-ID"/>
        </w:rPr>
        <w:t>uji chow</w:t>
      </w:r>
      <w:r w:rsidRPr="007A4984">
        <w:rPr>
          <w:rFonts w:ascii="Palatino Linotype" w:hAnsi="Palatino Linotype" w:cs="Times New Roman"/>
          <w:lang w:val="id-ID"/>
        </w:rPr>
        <w:t xml:space="preserve"> adalah </w:t>
      </w:r>
      <w:r w:rsidRPr="007A4984">
        <w:rPr>
          <w:rFonts w:ascii="Palatino Linotype" w:hAnsi="Palatino Linotype" w:cs="Times New Roman"/>
          <w:i/>
          <w:iCs/>
          <w:lang w:val="id-ID"/>
        </w:rPr>
        <w:t>common effect</w:t>
      </w:r>
    </w:p>
    <w:p w14:paraId="2B8FAADA" w14:textId="77777777" w:rsidR="00927211" w:rsidRPr="007A4984" w:rsidRDefault="00927211" w:rsidP="0046504C">
      <w:pPr>
        <w:keepNext/>
        <w:keepLines/>
        <w:spacing w:after="0" w:line="360" w:lineRule="auto"/>
        <w:jc w:val="both"/>
        <w:outlineLvl w:val="2"/>
        <w:rPr>
          <w:rFonts w:ascii="Palatino Linotype" w:eastAsiaTheme="majorEastAsia" w:hAnsi="Palatino Linotype" w:cstheme="majorBidi"/>
          <w:b/>
          <w:i/>
          <w:iCs/>
          <w:lang w:val="id-ID"/>
        </w:rPr>
      </w:pPr>
      <w:bookmarkStart w:id="7" w:name="_Toc204721447"/>
      <w:r w:rsidRPr="007A4984">
        <w:rPr>
          <w:rFonts w:ascii="Palatino Linotype" w:eastAsiaTheme="majorEastAsia" w:hAnsi="Palatino Linotype" w:cstheme="majorBidi"/>
          <w:b/>
          <w:i/>
          <w:iCs/>
          <w:lang w:val="id-ID"/>
        </w:rPr>
        <w:t>Uji Hausman</w:t>
      </w:r>
      <w:bookmarkEnd w:id="7"/>
      <w:r w:rsidRPr="007A4984">
        <w:rPr>
          <w:rFonts w:ascii="Palatino Linotype" w:eastAsiaTheme="majorEastAsia" w:hAnsi="Palatino Linotype" w:cstheme="majorBidi"/>
          <w:b/>
          <w:i/>
          <w:iCs/>
          <w:lang w:val="id-ID"/>
        </w:rPr>
        <w:t xml:space="preserve"> </w:t>
      </w:r>
    </w:p>
    <w:p w14:paraId="543CD19E" w14:textId="06B5338F" w:rsidR="00927211" w:rsidRPr="007A4984" w:rsidRDefault="00927211" w:rsidP="0046504C">
      <w:pPr>
        <w:tabs>
          <w:tab w:val="left" w:pos="142"/>
        </w:tabs>
        <w:spacing w:after="0" w:line="360" w:lineRule="auto"/>
        <w:jc w:val="center"/>
        <w:rPr>
          <w:rFonts w:ascii="Palatino Linotype" w:hAnsi="Palatino Linotype" w:cs="Times New Roman"/>
          <w:b/>
          <w:bCs/>
          <w:color w:val="000000"/>
          <w:lang w:val="id-ID"/>
        </w:rPr>
      </w:pPr>
      <w:bookmarkStart w:id="8" w:name="_Toc204721219"/>
      <w:r w:rsidRPr="007A4984">
        <w:rPr>
          <w:rFonts w:ascii="Palatino Linotype" w:hAnsi="Palatino Linotype" w:cs="Times New Roman"/>
          <w:b/>
          <w:bCs/>
          <w:lang w:val="id-ID"/>
        </w:rPr>
        <w:t xml:space="preserve">Tabel </w:t>
      </w:r>
      <w:r w:rsidRPr="007A4984">
        <w:rPr>
          <w:rFonts w:ascii="Palatino Linotype" w:hAnsi="Palatino Linotype" w:cs="Times New Roman"/>
          <w:b/>
          <w:bCs/>
          <w:color w:val="000000"/>
          <w:lang w:val="id-ID"/>
        </w:rPr>
        <w:t xml:space="preserve">Hasil </w:t>
      </w:r>
      <w:r w:rsidRPr="007A4984">
        <w:rPr>
          <w:rFonts w:ascii="Palatino Linotype" w:hAnsi="Palatino Linotype" w:cs="Times New Roman"/>
          <w:b/>
          <w:bCs/>
          <w:i/>
          <w:iCs/>
          <w:color w:val="000000"/>
          <w:lang w:val="id-ID"/>
        </w:rPr>
        <w:t>uji hausman</w:t>
      </w:r>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9"/>
        <w:gridCol w:w="2168"/>
        <w:gridCol w:w="1499"/>
        <w:gridCol w:w="968"/>
      </w:tblGrid>
      <w:tr w:rsidR="00927211" w:rsidRPr="007A4984" w14:paraId="0E2D8FCE" w14:textId="77777777" w:rsidTr="007A4984">
        <w:trPr>
          <w:trHeight w:val="237"/>
          <w:jc w:val="center"/>
        </w:trPr>
        <w:tc>
          <w:tcPr>
            <w:tcW w:w="3609" w:type="dxa"/>
          </w:tcPr>
          <w:p w14:paraId="6A39F8A9" w14:textId="77777777" w:rsidR="00927211" w:rsidRPr="007A4984" w:rsidRDefault="00927211" w:rsidP="00BE42D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Test Summary</w:t>
            </w:r>
          </w:p>
        </w:tc>
        <w:tc>
          <w:tcPr>
            <w:tcW w:w="2168" w:type="dxa"/>
          </w:tcPr>
          <w:p w14:paraId="4D056680"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Chi-Sq. Statistic</w:t>
            </w:r>
          </w:p>
        </w:tc>
        <w:tc>
          <w:tcPr>
            <w:tcW w:w="1499" w:type="dxa"/>
          </w:tcPr>
          <w:p w14:paraId="633A270C"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Chi-Sq. d.f.</w:t>
            </w:r>
          </w:p>
        </w:tc>
        <w:tc>
          <w:tcPr>
            <w:tcW w:w="968" w:type="dxa"/>
          </w:tcPr>
          <w:p w14:paraId="48F8DC70" w14:textId="6E7A34D4"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Prob.</w:t>
            </w:r>
          </w:p>
        </w:tc>
      </w:tr>
      <w:tr w:rsidR="00927211" w:rsidRPr="007A4984" w14:paraId="442C113A" w14:textId="77777777" w:rsidTr="007A4984">
        <w:trPr>
          <w:trHeight w:val="237"/>
          <w:jc w:val="center"/>
        </w:trPr>
        <w:tc>
          <w:tcPr>
            <w:tcW w:w="3609" w:type="dxa"/>
          </w:tcPr>
          <w:p w14:paraId="6E1E3405" w14:textId="77777777" w:rsidR="00927211" w:rsidRPr="007A4984" w:rsidRDefault="00927211" w:rsidP="00BE42D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Cross-section random</w:t>
            </w:r>
          </w:p>
        </w:tc>
        <w:tc>
          <w:tcPr>
            <w:tcW w:w="2168" w:type="dxa"/>
          </w:tcPr>
          <w:p w14:paraId="17BEA78B"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1.364790</w:t>
            </w:r>
          </w:p>
        </w:tc>
        <w:tc>
          <w:tcPr>
            <w:tcW w:w="1499" w:type="dxa"/>
          </w:tcPr>
          <w:p w14:paraId="082E3F6A"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2</w:t>
            </w:r>
          </w:p>
        </w:tc>
        <w:tc>
          <w:tcPr>
            <w:tcW w:w="968" w:type="dxa"/>
          </w:tcPr>
          <w:p w14:paraId="714376A8"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0.5054</w:t>
            </w:r>
          </w:p>
        </w:tc>
      </w:tr>
    </w:tbl>
    <w:p w14:paraId="69A49A5D" w14:textId="776CB65F" w:rsidR="00927211" w:rsidRPr="007A4984" w:rsidRDefault="00927211" w:rsidP="00927211">
      <w:pPr>
        <w:tabs>
          <w:tab w:val="left" w:pos="142"/>
        </w:tabs>
        <w:spacing w:after="0" w:line="360" w:lineRule="auto"/>
        <w:jc w:val="both"/>
        <w:rPr>
          <w:rFonts w:ascii="Palatino Linotype" w:hAnsi="Palatino Linotype" w:cs="Times New Roman"/>
          <w:i/>
          <w:iCs/>
          <w:color w:val="000000"/>
          <w:lang w:val="id-ID"/>
        </w:rPr>
      </w:pPr>
      <w:r w:rsidRPr="007A4984">
        <w:rPr>
          <w:rFonts w:ascii="Palatino Linotype" w:hAnsi="Palatino Linotype" w:cs="Times New Roman"/>
          <w:i/>
          <w:iCs/>
          <w:color w:val="000000"/>
          <w:lang w:val="id-ID"/>
        </w:rPr>
        <w:tab/>
      </w:r>
      <w:r w:rsidR="007B708A" w:rsidRPr="007A4984">
        <w:rPr>
          <w:rFonts w:ascii="Palatino Linotype" w:hAnsi="Palatino Linotype" w:cs="Times New Roman"/>
          <w:i/>
          <w:iCs/>
          <w:color w:val="000000"/>
          <w:lang w:val="id-ID"/>
        </w:rPr>
        <w:tab/>
      </w:r>
      <w:r w:rsidRPr="007A4984">
        <w:rPr>
          <w:rFonts w:ascii="Palatino Linotype" w:hAnsi="Palatino Linotype" w:cs="Times New Roman"/>
          <w:i/>
          <w:iCs/>
          <w:color w:val="000000"/>
          <w:lang w:val="id-ID"/>
        </w:rPr>
        <w:t>Sumber: Data Diolah</w:t>
      </w:r>
      <w:r w:rsidR="00735C43">
        <w:rPr>
          <w:rFonts w:ascii="Palatino Linotype" w:hAnsi="Palatino Linotype" w:cs="Times New Roman"/>
          <w:i/>
          <w:iCs/>
          <w:color w:val="000000"/>
          <w:lang w:val="id-ID"/>
        </w:rPr>
        <w:t xml:space="preserve"> Eviews</w:t>
      </w:r>
      <w:r w:rsidRPr="007A4984">
        <w:rPr>
          <w:rFonts w:ascii="Palatino Linotype" w:hAnsi="Palatino Linotype" w:cs="Times New Roman"/>
          <w:i/>
          <w:iCs/>
          <w:color w:val="000000"/>
          <w:lang w:val="id-ID"/>
        </w:rPr>
        <w:t xml:space="preserve"> 1</w:t>
      </w:r>
      <w:r w:rsidR="00963D90" w:rsidRPr="007A4984">
        <w:rPr>
          <w:rFonts w:ascii="Palatino Linotype" w:hAnsi="Palatino Linotype" w:cs="Times New Roman"/>
          <w:i/>
          <w:iCs/>
          <w:color w:val="000000"/>
          <w:lang w:val="id-ID"/>
        </w:rPr>
        <w:t>2</w:t>
      </w:r>
      <w:r w:rsidRPr="007A4984">
        <w:rPr>
          <w:rFonts w:ascii="Palatino Linotype" w:hAnsi="Palatino Linotype" w:cs="Times New Roman"/>
          <w:i/>
          <w:iCs/>
          <w:color w:val="000000"/>
          <w:lang w:val="id-ID"/>
        </w:rPr>
        <w:t>(2025)</w:t>
      </w:r>
    </w:p>
    <w:p w14:paraId="30872F34" w14:textId="3C78EDAB" w:rsidR="00B503D5" w:rsidRPr="007A4984" w:rsidRDefault="00927211" w:rsidP="000630AD">
      <w:pPr>
        <w:spacing w:after="0" w:line="360" w:lineRule="auto"/>
        <w:ind w:firstLine="720"/>
        <w:jc w:val="both"/>
        <w:rPr>
          <w:rFonts w:ascii="Palatino Linotype" w:hAnsi="Palatino Linotype" w:cs="Times New Roman"/>
          <w:i/>
          <w:iCs/>
          <w:lang w:val="id-ID"/>
        </w:rPr>
      </w:pPr>
      <w:r w:rsidRPr="007A4984">
        <w:rPr>
          <w:rFonts w:ascii="Palatino Linotype" w:hAnsi="Palatino Linotype" w:cs="Times New Roman"/>
          <w:lang w:val="id-ID"/>
        </w:rPr>
        <w:t xml:space="preserve">Dari uji hausman diperoleh nilai probability sebesar </w:t>
      </w:r>
      <w:r w:rsidRPr="007A4984">
        <w:rPr>
          <w:rFonts w:ascii="Palatino Linotype" w:hAnsi="Palatino Linotype" w:cs="Times New Roman"/>
          <w:color w:val="000000"/>
          <w:lang w:val="id-ID"/>
        </w:rPr>
        <w:t xml:space="preserve">0.5054 </w:t>
      </w:r>
      <w:r w:rsidRPr="007A4984">
        <w:rPr>
          <w:rFonts w:ascii="Palatino Linotype" w:hAnsi="Palatino Linotype" w:cs="Times New Roman"/>
          <w:lang w:val="id-ID"/>
        </w:rPr>
        <w:t xml:space="preserve">&gt; 0,05. Dengan demikian model terbaik dari uji hausmann adalah </w:t>
      </w:r>
      <w:r w:rsidR="00F210F1" w:rsidRPr="007A4984">
        <w:rPr>
          <w:rFonts w:ascii="Palatino Linotype" w:hAnsi="Palatino Linotype" w:cs="Times New Roman"/>
          <w:i/>
          <w:iCs/>
          <w:lang w:val="id-ID"/>
        </w:rPr>
        <w:t>random effect</w:t>
      </w:r>
      <w:r w:rsidRPr="007A4984">
        <w:rPr>
          <w:rFonts w:ascii="Palatino Linotype" w:hAnsi="Palatino Linotype" w:cs="Times New Roman"/>
          <w:i/>
          <w:iCs/>
          <w:lang w:val="id-ID"/>
        </w:rPr>
        <w:t>.</w:t>
      </w:r>
      <w:bookmarkStart w:id="9" w:name="_Toc204721448"/>
    </w:p>
    <w:p w14:paraId="4E735A77" w14:textId="02EE233D" w:rsidR="00927211" w:rsidRPr="007A4984" w:rsidRDefault="00927211" w:rsidP="0046504C">
      <w:pPr>
        <w:spacing w:after="0" w:line="360" w:lineRule="auto"/>
        <w:jc w:val="both"/>
        <w:rPr>
          <w:rFonts w:ascii="Palatino Linotype" w:hAnsi="Palatino Linotype" w:cs="Times New Roman"/>
          <w:lang w:val="id-ID"/>
        </w:rPr>
      </w:pPr>
      <w:r w:rsidRPr="007A4984">
        <w:rPr>
          <w:rFonts w:ascii="Palatino Linotype" w:eastAsiaTheme="majorEastAsia" w:hAnsi="Palatino Linotype" w:cstheme="majorBidi"/>
          <w:b/>
          <w:i/>
          <w:iCs/>
          <w:lang w:val="id-ID"/>
        </w:rPr>
        <w:t>Uji Lagrange Multiplier</w:t>
      </w:r>
      <w:bookmarkEnd w:id="9"/>
    </w:p>
    <w:p w14:paraId="3A62662A" w14:textId="6BB49F08" w:rsidR="00927211" w:rsidRPr="007A4984" w:rsidRDefault="00927211" w:rsidP="0046504C">
      <w:pPr>
        <w:spacing w:after="0" w:line="360" w:lineRule="auto"/>
        <w:ind w:left="567"/>
        <w:contextualSpacing/>
        <w:jc w:val="center"/>
        <w:rPr>
          <w:rFonts w:ascii="Palatino Linotype" w:hAnsi="Palatino Linotype" w:cs="Times New Roman"/>
          <w:b/>
          <w:bCs/>
          <w:lang w:val="id-ID"/>
        </w:rPr>
      </w:pPr>
      <w:bookmarkStart w:id="10" w:name="_Toc204721220"/>
      <w:r w:rsidRPr="007A4984">
        <w:rPr>
          <w:rFonts w:ascii="Palatino Linotype" w:hAnsi="Palatino Linotype" w:cs="Times New Roman"/>
          <w:b/>
          <w:bCs/>
          <w:lang w:val="id-ID"/>
        </w:rPr>
        <w:t xml:space="preserve">Tabel </w:t>
      </w:r>
      <w:r w:rsidRPr="007A4984">
        <w:rPr>
          <w:rFonts w:ascii="Palatino Linotype" w:hAnsi="Palatino Linotype" w:cs="Times New Roman"/>
          <w:b/>
          <w:bCs/>
          <w:color w:val="000000"/>
          <w:lang w:val="id-ID"/>
        </w:rPr>
        <w:t xml:space="preserve">Hasil </w:t>
      </w:r>
      <w:r w:rsidRPr="007A4984">
        <w:rPr>
          <w:rFonts w:ascii="Palatino Linotype" w:hAnsi="Palatino Linotype" w:cs="Times New Roman"/>
          <w:b/>
          <w:i/>
          <w:iCs/>
          <w:lang w:val="id-ID"/>
        </w:rPr>
        <w:t>Uji Lagrange Multiplier</w:t>
      </w:r>
      <w:bookmarkEnd w:id="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04"/>
        <w:gridCol w:w="1817"/>
        <w:gridCol w:w="1818"/>
        <w:gridCol w:w="1817"/>
      </w:tblGrid>
      <w:tr w:rsidR="00927211" w:rsidRPr="007A4984" w14:paraId="486A6B31" w14:textId="77777777" w:rsidTr="007B708A">
        <w:trPr>
          <w:trHeight w:val="336"/>
          <w:jc w:val="center"/>
        </w:trPr>
        <w:tc>
          <w:tcPr>
            <w:tcW w:w="2804" w:type="dxa"/>
          </w:tcPr>
          <w:p w14:paraId="4DEE223A"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Null (no rand. effect)</w:t>
            </w:r>
          </w:p>
        </w:tc>
        <w:tc>
          <w:tcPr>
            <w:tcW w:w="1817" w:type="dxa"/>
          </w:tcPr>
          <w:p w14:paraId="43A3F64B"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Cross-section</w:t>
            </w:r>
          </w:p>
        </w:tc>
        <w:tc>
          <w:tcPr>
            <w:tcW w:w="1818" w:type="dxa"/>
          </w:tcPr>
          <w:p w14:paraId="042C7251"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Period</w:t>
            </w:r>
          </w:p>
        </w:tc>
        <w:tc>
          <w:tcPr>
            <w:tcW w:w="1817" w:type="dxa"/>
          </w:tcPr>
          <w:p w14:paraId="382A4373"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Both</w:t>
            </w:r>
          </w:p>
        </w:tc>
      </w:tr>
      <w:tr w:rsidR="00927211" w:rsidRPr="007A4984" w14:paraId="2173940F" w14:textId="77777777" w:rsidTr="007B708A">
        <w:trPr>
          <w:trHeight w:val="336"/>
          <w:jc w:val="center"/>
        </w:trPr>
        <w:tc>
          <w:tcPr>
            <w:tcW w:w="2804" w:type="dxa"/>
          </w:tcPr>
          <w:p w14:paraId="359F1D87"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Alternative</w:t>
            </w:r>
          </w:p>
        </w:tc>
        <w:tc>
          <w:tcPr>
            <w:tcW w:w="1817" w:type="dxa"/>
          </w:tcPr>
          <w:p w14:paraId="343C9F02"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One-sided</w:t>
            </w:r>
          </w:p>
        </w:tc>
        <w:tc>
          <w:tcPr>
            <w:tcW w:w="1818" w:type="dxa"/>
          </w:tcPr>
          <w:p w14:paraId="14ACD6D6"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One-sided</w:t>
            </w:r>
          </w:p>
        </w:tc>
        <w:tc>
          <w:tcPr>
            <w:tcW w:w="1817" w:type="dxa"/>
          </w:tcPr>
          <w:p w14:paraId="45BA91AE"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p>
        </w:tc>
      </w:tr>
      <w:tr w:rsidR="00927211" w:rsidRPr="007A4984" w14:paraId="6EA51547" w14:textId="77777777" w:rsidTr="007B708A">
        <w:trPr>
          <w:trHeight w:val="336"/>
          <w:jc w:val="center"/>
        </w:trPr>
        <w:tc>
          <w:tcPr>
            <w:tcW w:w="2804" w:type="dxa"/>
          </w:tcPr>
          <w:p w14:paraId="64113EBD"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Honda</w:t>
            </w:r>
          </w:p>
        </w:tc>
        <w:tc>
          <w:tcPr>
            <w:tcW w:w="1817" w:type="dxa"/>
          </w:tcPr>
          <w:p w14:paraId="04A0B760"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-0.788987</w:t>
            </w:r>
          </w:p>
        </w:tc>
        <w:tc>
          <w:tcPr>
            <w:tcW w:w="1818" w:type="dxa"/>
          </w:tcPr>
          <w:p w14:paraId="24A781C5"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-1.573201</w:t>
            </w:r>
          </w:p>
        </w:tc>
        <w:tc>
          <w:tcPr>
            <w:tcW w:w="1817" w:type="dxa"/>
          </w:tcPr>
          <w:p w14:paraId="492A1644"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-1.670319</w:t>
            </w:r>
          </w:p>
        </w:tc>
      </w:tr>
      <w:tr w:rsidR="00927211" w:rsidRPr="007A4984" w14:paraId="2BCD5FC9" w14:textId="77777777" w:rsidTr="007B708A">
        <w:trPr>
          <w:trHeight w:val="336"/>
          <w:jc w:val="center"/>
        </w:trPr>
        <w:tc>
          <w:tcPr>
            <w:tcW w:w="2804" w:type="dxa"/>
          </w:tcPr>
          <w:p w14:paraId="4E2E382F"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p>
        </w:tc>
        <w:tc>
          <w:tcPr>
            <w:tcW w:w="1817" w:type="dxa"/>
          </w:tcPr>
          <w:p w14:paraId="5E2E326C"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(0.7849)</w:t>
            </w:r>
          </w:p>
        </w:tc>
        <w:tc>
          <w:tcPr>
            <w:tcW w:w="1818" w:type="dxa"/>
          </w:tcPr>
          <w:p w14:paraId="2D5140C9"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(0.9422)</w:t>
            </w:r>
          </w:p>
        </w:tc>
        <w:tc>
          <w:tcPr>
            <w:tcW w:w="1817" w:type="dxa"/>
          </w:tcPr>
          <w:p w14:paraId="212F39E9"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(0.9526)</w:t>
            </w:r>
          </w:p>
        </w:tc>
      </w:tr>
      <w:tr w:rsidR="00927211" w:rsidRPr="007A4984" w14:paraId="5EC8A41B" w14:textId="77777777" w:rsidTr="007B708A">
        <w:trPr>
          <w:trHeight w:val="336"/>
          <w:jc w:val="center"/>
        </w:trPr>
        <w:tc>
          <w:tcPr>
            <w:tcW w:w="2804" w:type="dxa"/>
          </w:tcPr>
          <w:p w14:paraId="00E06815"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King-Wu</w:t>
            </w:r>
          </w:p>
        </w:tc>
        <w:tc>
          <w:tcPr>
            <w:tcW w:w="1817" w:type="dxa"/>
          </w:tcPr>
          <w:p w14:paraId="3C059ABC"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-0.788987</w:t>
            </w:r>
          </w:p>
        </w:tc>
        <w:tc>
          <w:tcPr>
            <w:tcW w:w="1818" w:type="dxa"/>
          </w:tcPr>
          <w:p w14:paraId="3E0E057A"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-1.573201</w:t>
            </w:r>
          </w:p>
        </w:tc>
        <w:tc>
          <w:tcPr>
            <w:tcW w:w="1817" w:type="dxa"/>
          </w:tcPr>
          <w:p w14:paraId="3AF4DCD5"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-1.759723</w:t>
            </w:r>
          </w:p>
        </w:tc>
      </w:tr>
      <w:tr w:rsidR="00927211" w:rsidRPr="007A4984" w14:paraId="2D756939" w14:textId="77777777" w:rsidTr="007B708A">
        <w:trPr>
          <w:trHeight w:val="336"/>
          <w:jc w:val="center"/>
        </w:trPr>
        <w:tc>
          <w:tcPr>
            <w:tcW w:w="2804" w:type="dxa"/>
          </w:tcPr>
          <w:p w14:paraId="524C79A6"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p>
        </w:tc>
        <w:tc>
          <w:tcPr>
            <w:tcW w:w="1817" w:type="dxa"/>
          </w:tcPr>
          <w:p w14:paraId="5AE3A6FA"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(0.7849)</w:t>
            </w:r>
          </w:p>
        </w:tc>
        <w:tc>
          <w:tcPr>
            <w:tcW w:w="1818" w:type="dxa"/>
          </w:tcPr>
          <w:p w14:paraId="6A899E35"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(0.9422)</w:t>
            </w:r>
          </w:p>
        </w:tc>
        <w:tc>
          <w:tcPr>
            <w:tcW w:w="1817" w:type="dxa"/>
          </w:tcPr>
          <w:p w14:paraId="3C874BD8"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(0.9608)</w:t>
            </w:r>
          </w:p>
        </w:tc>
      </w:tr>
      <w:tr w:rsidR="00927211" w:rsidRPr="007A4984" w14:paraId="32524ABB" w14:textId="77777777" w:rsidTr="007B708A">
        <w:trPr>
          <w:trHeight w:val="336"/>
          <w:jc w:val="center"/>
        </w:trPr>
        <w:tc>
          <w:tcPr>
            <w:tcW w:w="2804" w:type="dxa"/>
          </w:tcPr>
          <w:p w14:paraId="0C527BB0"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SLM</w:t>
            </w:r>
          </w:p>
        </w:tc>
        <w:tc>
          <w:tcPr>
            <w:tcW w:w="1817" w:type="dxa"/>
          </w:tcPr>
          <w:p w14:paraId="535FC975"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-0.662288</w:t>
            </w:r>
          </w:p>
        </w:tc>
        <w:tc>
          <w:tcPr>
            <w:tcW w:w="1818" w:type="dxa"/>
          </w:tcPr>
          <w:p w14:paraId="1CC06207"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-1.414271</w:t>
            </w:r>
          </w:p>
        </w:tc>
        <w:tc>
          <w:tcPr>
            <w:tcW w:w="1817" w:type="dxa"/>
          </w:tcPr>
          <w:p w14:paraId="1B7D55D3"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w:t>
            </w:r>
          </w:p>
        </w:tc>
      </w:tr>
      <w:tr w:rsidR="00927211" w:rsidRPr="007A4984" w14:paraId="0843DA17" w14:textId="77777777" w:rsidTr="007B708A">
        <w:trPr>
          <w:trHeight w:val="336"/>
          <w:jc w:val="center"/>
        </w:trPr>
        <w:tc>
          <w:tcPr>
            <w:tcW w:w="2804" w:type="dxa"/>
          </w:tcPr>
          <w:p w14:paraId="1A09C1ED"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p>
        </w:tc>
        <w:tc>
          <w:tcPr>
            <w:tcW w:w="1817" w:type="dxa"/>
          </w:tcPr>
          <w:p w14:paraId="03615A59"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(0.7461)</w:t>
            </w:r>
          </w:p>
        </w:tc>
        <w:tc>
          <w:tcPr>
            <w:tcW w:w="1818" w:type="dxa"/>
          </w:tcPr>
          <w:p w14:paraId="48D3B31E"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(0.9214)</w:t>
            </w:r>
          </w:p>
        </w:tc>
        <w:tc>
          <w:tcPr>
            <w:tcW w:w="1817" w:type="dxa"/>
          </w:tcPr>
          <w:p w14:paraId="7C8B54DF"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w:t>
            </w:r>
          </w:p>
        </w:tc>
      </w:tr>
      <w:tr w:rsidR="00927211" w:rsidRPr="007A4984" w14:paraId="3C49F2AD" w14:textId="77777777" w:rsidTr="007B708A">
        <w:trPr>
          <w:trHeight w:val="336"/>
          <w:jc w:val="center"/>
        </w:trPr>
        <w:tc>
          <w:tcPr>
            <w:tcW w:w="2804" w:type="dxa"/>
          </w:tcPr>
          <w:p w14:paraId="2E124733"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GHM</w:t>
            </w:r>
          </w:p>
        </w:tc>
        <w:tc>
          <w:tcPr>
            <w:tcW w:w="1817" w:type="dxa"/>
          </w:tcPr>
          <w:p w14:paraId="0E4234C4"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w:t>
            </w:r>
          </w:p>
        </w:tc>
        <w:tc>
          <w:tcPr>
            <w:tcW w:w="1818" w:type="dxa"/>
          </w:tcPr>
          <w:p w14:paraId="1CEEF063"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w:t>
            </w:r>
          </w:p>
        </w:tc>
        <w:tc>
          <w:tcPr>
            <w:tcW w:w="1817" w:type="dxa"/>
          </w:tcPr>
          <w:p w14:paraId="1588CDC0" w14:textId="27C75DFD"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0.000000</w:t>
            </w:r>
          </w:p>
        </w:tc>
      </w:tr>
      <w:tr w:rsidR="00927211" w:rsidRPr="007A4984" w14:paraId="79CBC807" w14:textId="77777777" w:rsidTr="007B708A">
        <w:trPr>
          <w:trHeight w:val="336"/>
          <w:jc w:val="center"/>
        </w:trPr>
        <w:tc>
          <w:tcPr>
            <w:tcW w:w="2804" w:type="dxa"/>
          </w:tcPr>
          <w:p w14:paraId="7BEFABF6"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p>
        </w:tc>
        <w:tc>
          <w:tcPr>
            <w:tcW w:w="1817" w:type="dxa"/>
          </w:tcPr>
          <w:p w14:paraId="34A509C2"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w:t>
            </w:r>
          </w:p>
        </w:tc>
        <w:tc>
          <w:tcPr>
            <w:tcW w:w="1818" w:type="dxa"/>
          </w:tcPr>
          <w:p w14:paraId="3A742806"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w:t>
            </w:r>
          </w:p>
        </w:tc>
        <w:tc>
          <w:tcPr>
            <w:tcW w:w="1817" w:type="dxa"/>
          </w:tcPr>
          <w:p w14:paraId="15305223" w14:textId="77777777" w:rsidR="00927211" w:rsidRPr="007A4984" w:rsidRDefault="00927211" w:rsidP="007B708A">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(0.7500)</w:t>
            </w:r>
          </w:p>
        </w:tc>
      </w:tr>
    </w:tbl>
    <w:p w14:paraId="766B6BBF" w14:textId="5DA85EBF" w:rsidR="005651E3" w:rsidRPr="007A4984" w:rsidRDefault="005651E3" w:rsidP="00927211">
      <w:pPr>
        <w:spacing w:after="0" w:line="360" w:lineRule="auto"/>
        <w:ind w:firstLine="720"/>
        <w:jc w:val="both"/>
        <w:rPr>
          <w:rFonts w:ascii="Palatino Linotype" w:hAnsi="Palatino Linotype" w:cs="Times New Roman"/>
          <w:lang w:val="id-ID"/>
        </w:rPr>
      </w:pPr>
      <w:r w:rsidRPr="007A4984">
        <w:rPr>
          <w:rFonts w:ascii="Palatino Linotype" w:hAnsi="Palatino Linotype" w:cs="Times New Roman"/>
          <w:i/>
          <w:iCs/>
          <w:color w:val="000000"/>
          <w:lang w:val="id-ID"/>
        </w:rPr>
        <w:t>Sumber: Data Diolah 12(2025)</w:t>
      </w:r>
    </w:p>
    <w:p w14:paraId="6CA635B7" w14:textId="018214FA" w:rsidR="00927211" w:rsidRPr="007A4984" w:rsidRDefault="00927211" w:rsidP="00927211">
      <w:pPr>
        <w:spacing w:after="0" w:line="360" w:lineRule="auto"/>
        <w:ind w:firstLine="720"/>
        <w:jc w:val="both"/>
        <w:rPr>
          <w:rFonts w:ascii="Palatino Linotype" w:hAnsi="Palatino Linotype" w:cs="Times New Roman"/>
          <w:lang w:val="id-ID"/>
        </w:rPr>
      </w:pPr>
      <w:r w:rsidRPr="007A4984">
        <w:rPr>
          <w:rFonts w:ascii="Palatino Linotype" w:hAnsi="Palatino Linotype" w:cs="Times New Roman"/>
          <w:lang w:val="id-ID"/>
        </w:rPr>
        <w:t xml:space="preserve">Dari </w:t>
      </w:r>
      <w:r w:rsidRPr="007A4984">
        <w:rPr>
          <w:rFonts w:ascii="Palatino Linotype" w:hAnsi="Palatino Linotype" w:cs="Times New Roman"/>
          <w:i/>
          <w:iCs/>
          <w:lang w:val="id-ID"/>
        </w:rPr>
        <w:t>uji hausmann</w:t>
      </w:r>
      <w:r w:rsidRPr="007A4984">
        <w:rPr>
          <w:rFonts w:ascii="Palatino Linotype" w:hAnsi="Palatino Linotype" w:cs="Times New Roman"/>
          <w:lang w:val="id-ID"/>
        </w:rPr>
        <w:t xml:space="preserve"> diperoleh nilai probability sebesar 0.7849 &gt; 0,05. Dengan demikian model terbaik dari uji hausmann adalah </w:t>
      </w:r>
      <w:r w:rsidRPr="007A4984">
        <w:rPr>
          <w:rFonts w:ascii="Palatino Linotype" w:hAnsi="Palatino Linotype" w:cs="Times New Roman"/>
          <w:i/>
          <w:iCs/>
          <w:lang w:val="id-ID"/>
        </w:rPr>
        <w:t>common effect</w:t>
      </w:r>
      <w:r w:rsidRPr="007A4984">
        <w:rPr>
          <w:rFonts w:ascii="Palatino Linotype" w:hAnsi="Palatino Linotype" w:cs="Times New Roman"/>
          <w:lang w:val="id-ID"/>
        </w:rPr>
        <w:t xml:space="preserve"> Dengan demikian, dari hasil pengujian chow, hausmann, dan LM dapat disimpulkan model terbaik adalah </w:t>
      </w:r>
      <w:r w:rsidRPr="007A4984">
        <w:rPr>
          <w:rFonts w:ascii="Palatino Linotype" w:hAnsi="Palatino Linotype" w:cs="Times New Roman"/>
          <w:i/>
          <w:iCs/>
          <w:lang w:val="id-ID"/>
        </w:rPr>
        <w:t>Common Effect Model</w:t>
      </w:r>
      <w:r w:rsidRPr="007A4984">
        <w:rPr>
          <w:rFonts w:ascii="Palatino Linotype" w:hAnsi="Palatino Linotype" w:cs="Times New Roman"/>
          <w:lang w:val="id-ID"/>
        </w:rPr>
        <w:t>,</w:t>
      </w:r>
      <w:r w:rsidRPr="007A4984">
        <w:rPr>
          <w:rFonts w:ascii="Palatino Linotype" w:hAnsi="Palatino Linotype"/>
          <w:lang w:val="id-ID"/>
        </w:rPr>
        <w:t xml:space="preserve"> </w:t>
      </w:r>
      <w:r w:rsidRPr="007A4984">
        <w:rPr>
          <w:rFonts w:ascii="Palatino Linotype" w:hAnsi="Palatino Linotype" w:cs="Times New Roman"/>
          <w:lang w:val="id-ID"/>
        </w:rPr>
        <w:t xml:space="preserve">Berdasarkan kombinasi uji, peneliti memilih </w:t>
      </w:r>
      <w:r w:rsidRPr="007A4984">
        <w:rPr>
          <w:rFonts w:ascii="Palatino Linotype" w:hAnsi="Palatino Linotype" w:cs="Times New Roman"/>
          <w:b/>
          <w:bCs/>
          <w:i/>
          <w:iCs/>
          <w:lang w:val="id-ID"/>
        </w:rPr>
        <w:t>Common Effect Model</w:t>
      </w:r>
      <w:r w:rsidRPr="007A4984">
        <w:rPr>
          <w:rFonts w:ascii="Palatino Linotype" w:hAnsi="Palatino Linotype" w:cs="Times New Roman"/>
          <w:lang w:val="id-ID"/>
        </w:rPr>
        <w:t xml:space="preserve"> (meskipun </w:t>
      </w:r>
      <w:r w:rsidRPr="007A4984">
        <w:rPr>
          <w:rFonts w:ascii="Palatino Linotype" w:hAnsi="Palatino Linotype" w:cs="Times New Roman"/>
          <w:i/>
          <w:iCs/>
          <w:lang w:val="id-ID"/>
        </w:rPr>
        <w:t>uji Hausman</w:t>
      </w:r>
      <w:r w:rsidRPr="007A4984">
        <w:rPr>
          <w:rFonts w:ascii="Palatino Linotype" w:hAnsi="Palatino Linotype" w:cs="Times New Roman"/>
          <w:lang w:val="id-ID"/>
        </w:rPr>
        <w:t xml:space="preserve"> memberi sinyal</w:t>
      </w:r>
      <w:r w:rsidRPr="007A4984">
        <w:rPr>
          <w:rFonts w:ascii="Palatino Linotype" w:hAnsi="Palatino Linotype" w:cs="Times New Roman"/>
          <w:i/>
          <w:iCs/>
          <w:lang w:val="id-ID"/>
        </w:rPr>
        <w:t xml:space="preserve"> Fixed Effect</w:t>
      </w:r>
      <w:r w:rsidRPr="007A4984">
        <w:rPr>
          <w:rFonts w:ascii="Palatino Linotype" w:hAnsi="Palatino Linotype" w:cs="Times New Roman"/>
          <w:lang w:val="id-ID"/>
        </w:rPr>
        <w:t xml:space="preserve">, tetapi </w:t>
      </w:r>
      <w:r w:rsidRPr="007A4984">
        <w:rPr>
          <w:rFonts w:ascii="Palatino Linotype" w:hAnsi="Palatino Linotype" w:cs="Times New Roman"/>
          <w:i/>
          <w:iCs/>
          <w:lang w:val="id-ID"/>
        </w:rPr>
        <w:t>LM</w:t>
      </w:r>
      <w:r w:rsidRPr="007A4984">
        <w:rPr>
          <w:rFonts w:ascii="Palatino Linotype" w:hAnsi="Palatino Linotype" w:cs="Times New Roman"/>
          <w:lang w:val="id-ID"/>
        </w:rPr>
        <w:t xml:space="preserve"> dan </w:t>
      </w:r>
      <w:r w:rsidRPr="007A4984">
        <w:rPr>
          <w:rFonts w:ascii="Palatino Linotype" w:hAnsi="Palatino Linotype" w:cs="Times New Roman"/>
          <w:i/>
          <w:iCs/>
          <w:lang w:val="id-ID"/>
        </w:rPr>
        <w:t>Chow</w:t>
      </w:r>
      <w:r w:rsidRPr="007A4984">
        <w:rPr>
          <w:rFonts w:ascii="Palatino Linotype" w:hAnsi="Palatino Linotype" w:cs="Times New Roman"/>
          <w:lang w:val="id-ID"/>
        </w:rPr>
        <w:t xml:space="preserve"> cenderung </w:t>
      </w:r>
      <w:r w:rsidRPr="007A4984">
        <w:rPr>
          <w:rFonts w:ascii="Palatino Linotype" w:hAnsi="Palatino Linotype" w:cs="Times New Roman"/>
          <w:i/>
          <w:iCs/>
          <w:lang w:val="id-ID"/>
        </w:rPr>
        <w:t>Common Effect</w:t>
      </w:r>
      <w:r w:rsidRPr="007A4984">
        <w:rPr>
          <w:rFonts w:ascii="Palatino Linotype" w:hAnsi="Palatino Linotype" w:cs="Times New Roman"/>
          <w:lang w:val="id-ID"/>
        </w:rPr>
        <w:t>).</w:t>
      </w:r>
    </w:p>
    <w:p w14:paraId="085D0B72" w14:textId="77777777" w:rsidR="003717C1" w:rsidRPr="007A4984" w:rsidRDefault="00927211" w:rsidP="003717C1">
      <w:pPr>
        <w:keepNext/>
        <w:keepLines/>
        <w:spacing w:after="0" w:line="360" w:lineRule="auto"/>
        <w:ind w:firstLine="357"/>
        <w:jc w:val="both"/>
        <w:outlineLvl w:val="1"/>
        <w:rPr>
          <w:rFonts w:ascii="Palatino Linotype" w:eastAsiaTheme="majorEastAsia" w:hAnsi="Palatino Linotype" w:cstheme="majorBidi"/>
          <w:b/>
          <w:lang w:val="id-ID"/>
        </w:rPr>
      </w:pPr>
      <w:bookmarkStart w:id="11" w:name="_Toc204721449"/>
      <w:r w:rsidRPr="007A4984">
        <w:rPr>
          <w:rFonts w:ascii="Palatino Linotype" w:eastAsiaTheme="majorEastAsia" w:hAnsi="Palatino Linotype" w:cstheme="majorBidi"/>
          <w:b/>
          <w:lang w:val="id-ID"/>
        </w:rPr>
        <w:lastRenderedPageBreak/>
        <w:t>Analisis Data Panel</w:t>
      </w:r>
      <w:bookmarkEnd w:id="11"/>
    </w:p>
    <w:p w14:paraId="05683C61" w14:textId="6B932E1D" w:rsidR="00927211" w:rsidRPr="007A4984" w:rsidRDefault="00927211" w:rsidP="007A4984">
      <w:pPr>
        <w:keepNext/>
        <w:keepLines/>
        <w:spacing w:after="0" w:line="360" w:lineRule="auto"/>
        <w:ind w:firstLine="567"/>
        <w:jc w:val="both"/>
        <w:outlineLvl w:val="1"/>
        <w:rPr>
          <w:rFonts w:ascii="Palatino Linotype" w:eastAsiaTheme="majorEastAsia" w:hAnsi="Palatino Linotype" w:cstheme="majorBidi"/>
          <w:b/>
          <w:lang w:val="id-ID"/>
        </w:rPr>
      </w:pPr>
      <w:r w:rsidRPr="007A4984">
        <w:rPr>
          <w:rFonts w:ascii="Palatino Linotype" w:hAnsi="Palatino Linotype" w:cs="Times New Roman"/>
          <w:lang w:val="id-ID"/>
        </w:rPr>
        <w:t xml:space="preserve">Analisis regresi linear dimaksudkan untuk menguji sejauh mana arah pengaruh variabel-variabel independen terhadap variabel dependen. Variabel independen dalam penelitian ini adalah TPT dan TPAK sedangkan variabel dependen adalah kemiskinan. Berdasarkan pengujian </w:t>
      </w:r>
      <w:r w:rsidR="00BE5227" w:rsidRPr="007A4984">
        <w:rPr>
          <w:rFonts w:ascii="Palatino Linotype" w:hAnsi="Palatino Linotype" w:cs="Times New Roman"/>
          <w:lang w:val="id-ID"/>
        </w:rPr>
        <w:t xml:space="preserve"> </w:t>
      </w:r>
      <w:r w:rsidRPr="007A4984">
        <w:rPr>
          <w:rFonts w:ascii="Palatino Linotype" w:hAnsi="Palatino Linotype" w:cs="Times New Roman"/>
          <w:lang w:val="id-ID"/>
        </w:rPr>
        <w:t xml:space="preserve">pemilihan model dengan </w:t>
      </w:r>
      <w:r w:rsidRPr="007A4984">
        <w:rPr>
          <w:rFonts w:ascii="Palatino Linotype" w:hAnsi="Palatino Linotype" w:cs="Times New Roman"/>
          <w:i/>
          <w:iCs/>
          <w:lang w:val="id-ID"/>
        </w:rPr>
        <w:t xml:space="preserve">uji chow,uji hausman </w:t>
      </w:r>
      <w:r w:rsidRPr="007A4984">
        <w:rPr>
          <w:rFonts w:ascii="Palatino Linotype" w:hAnsi="Palatino Linotype" w:cs="Times New Roman"/>
          <w:lang w:val="id-ID"/>
        </w:rPr>
        <w:t>dan</w:t>
      </w:r>
      <w:r w:rsidRPr="007A4984">
        <w:rPr>
          <w:rFonts w:ascii="Palatino Linotype" w:hAnsi="Palatino Linotype" w:cs="Times New Roman"/>
          <w:i/>
          <w:iCs/>
          <w:lang w:val="id-ID"/>
        </w:rPr>
        <w:t xml:space="preserve"> uji lagrange multiplier </w:t>
      </w:r>
      <w:r w:rsidRPr="007A4984">
        <w:rPr>
          <w:rFonts w:ascii="Palatino Linotype" w:hAnsi="Palatino Linotype" w:cs="Times New Roman"/>
          <w:lang w:val="id-ID"/>
        </w:rPr>
        <w:t>didapat bahwa</w:t>
      </w:r>
      <w:r w:rsidRPr="007A4984">
        <w:rPr>
          <w:rFonts w:ascii="Palatino Linotype" w:hAnsi="Palatino Linotype" w:cs="Times New Roman"/>
          <w:i/>
          <w:iCs/>
          <w:lang w:val="id-ID"/>
        </w:rPr>
        <w:t xml:space="preserve"> Common Effect Model</w:t>
      </w:r>
    </w:p>
    <w:p w14:paraId="0AE10E7D" w14:textId="3F84DFCD" w:rsidR="00927211" w:rsidRPr="007A4984" w:rsidRDefault="00927211" w:rsidP="0046504C">
      <w:pPr>
        <w:spacing w:after="0" w:line="360" w:lineRule="auto"/>
        <w:ind w:left="567"/>
        <w:contextualSpacing/>
        <w:jc w:val="center"/>
        <w:rPr>
          <w:rFonts w:ascii="Palatino Linotype" w:hAnsi="Palatino Linotype" w:cs="Times New Roman"/>
          <w:b/>
          <w:bCs/>
          <w:lang w:val="id-ID"/>
        </w:rPr>
      </w:pPr>
      <w:bookmarkStart w:id="12" w:name="_Toc204721221"/>
      <w:r w:rsidRPr="007A4984">
        <w:rPr>
          <w:rFonts w:ascii="Palatino Linotype" w:hAnsi="Palatino Linotype" w:cs="Times New Roman"/>
          <w:b/>
          <w:bCs/>
          <w:lang w:val="id-ID"/>
        </w:rPr>
        <w:t>Tabel</w:t>
      </w:r>
      <w:r w:rsidR="00522E11" w:rsidRPr="007A4984">
        <w:rPr>
          <w:rFonts w:ascii="Palatino Linotype" w:hAnsi="Palatino Linotype" w:cs="Times New Roman"/>
          <w:b/>
          <w:bCs/>
          <w:lang w:val="id-ID"/>
        </w:rPr>
        <w:t xml:space="preserve"> </w:t>
      </w:r>
      <w:r w:rsidRPr="007A4984">
        <w:rPr>
          <w:rFonts w:ascii="Palatino Linotype" w:hAnsi="Palatino Linotype" w:cs="Times New Roman"/>
          <w:b/>
          <w:bCs/>
          <w:color w:val="000000"/>
          <w:lang w:val="id-ID"/>
        </w:rPr>
        <w:t xml:space="preserve">Hasil </w:t>
      </w:r>
      <w:r w:rsidRPr="007A4984">
        <w:rPr>
          <w:rFonts w:ascii="Palatino Linotype" w:hAnsi="Palatino Linotype" w:cs="Times New Roman"/>
          <w:b/>
          <w:lang w:val="id-ID"/>
        </w:rPr>
        <w:t>Uji Analisis Regresi Data Panel</w:t>
      </w:r>
      <w:bookmarkEnd w:id="12"/>
    </w:p>
    <w:tbl>
      <w:tblPr>
        <w:tblW w:w="0" w:type="auto"/>
        <w:jc w:val="center"/>
        <w:tblLayout w:type="fixed"/>
        <w:tblCellMar>
          <w:left w:w="0" w:type="dxa"/>
          <w:right w:w="0" w:type="dxa"/>
        </w:tblCellMar>
        <w:tblLook w:val="0000" w:firstRow="0" w:lastRow="0" w:firstColumn="0" w:lastColumn="0" w:noHBand="0" w:noVBand="0"/>
      </w:tblPr>
      <w:tblGrid>
        <w:gridCol w:w="2206"/>
        <w:gridCol w:w="1418"/>
        <w:gridCol w:w="1417"/>
        <w:gridCol w:w="1576"/>
        <w:gridCol w:w="1734"/>
      </w:tblGrid>
      <w:tr w:rsidR="00927211" w:rsidRPr="007A4984" w14:paraId="5656A82C"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203D0532"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Variable</w:t>
            </w:r>
          </w:p>
        </w:tc>
        <w:tc>
          <w:tcPr>
            <w:tcW w:w="1418" w:type="dxa"/>
            <w:tcBorders>
              <w:top w:val="single" w:sz="4" w:space="0" w:color="auto"/>
              <w:left w:val="single" w:sz="4" w:space="0" w:color="auto"/>
              <w:bottom w:val="single" w:sz="4" w:space="0" w:color="auto"/>
              <w:right w:val="single" w:sz="4" w:space="0" w:color="auto"/>
            </w:tcBorders>
            <w:vAlign w:val="bottom"/>
          </w:tcPr>
          <w:p w14:paraId="5FFD112D"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Coefficient</w:t>
            </w:r>
          </w:p>
        </w:tc>
        <w:tc>
          <w:tcPr>
            <w:tcW w:w="1417" w:type="dxa"/>
            <w:tcBorders>
              <w:top w:val="single" w:sz="4" w:space="0" w:color="auto"/>
              <w:left w:val="single" w:sz="4" w:space="0" w:color="auto"/>
              <w:bottom w:val="single" w:sz="4" w:space="0" w:color="auto"/>
              <w:right w:val="single" w:sz="4" w:space="0" w:color="auto"/>
            </w:tcBorders>
            <w:vAlign w:val="bottom"/>
          </w:tcPr>
          <w:p w14:paraId="0A88C62A"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Std. Error</w:t>
            </w:r>
          </w:p>
        </w:tc>
        <w:tc>
          <w:tcPr>
            <w:tcW w:w="1576" w:type="dxa"/>
            <w:tcBorders>
              <w:top w:val="single" w:sz="4" w:space="0" w:color="auto"/>
              <w:left w:val="single" w:sz="4" w:space="0" w:color="auto"/>
              <w:bottom w:val="single" w:sz="4" w:space="0" w:color="auto"/>
              <w:right w:val="single" w:sz="4" w:space="0" w:color="auto"/>
            </w:tcBorders>
            <w:vAlign w:val="bottom"/>
          </w:tcPr>
          <w:p w14:paraId="3C26F26E"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t-Statistic</w:t>
            </w:r>
          </w:p>
        </w:tc>
        <w:tc>
          <w:tcPr>
            <w:tcW w:w="1733" w:type="dxa"/>
            <w:tcBorders>
              <w:top w:val="single" w:sz="4" w:space="0" w:color="auto"/>
              <w:left w:val="single" w:sz="4" w:space="0" w:color="auto"/>
              <w:bottom w:val="single" w:sz="4" w:space="0" w:color="auto"/>
              <w:right w:val="single" w:sz="4" w:space="0" w:color="auto"/>
            </w:tcBorders>
            <w:vAlign w:val="bottom"/>
          </w:tcPr>
          <w:p w14:paraId="3D2F3024"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Prob.  </w:t>
            </w:r>
          </w:p>
        </w:tc>
      </w:tr>
      <w:tr w:rsidR="00927211" w:rsidRPr="007A4984" w14:paraId="375DDD22"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68E9E1D4"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C</w:t>
            </w:r>
          </w:p>
        </w:tc>
        <w:tc>
          <w:tcPr>
            <w:tcW w:w="1418" w:type="dxa"/>
            <w:tcBorders>
              <w:top w:val="single" w:sz="4" w:space="0" w:color="auto"/>
              <w:left w:val="single" w:sz="4" w:space="0" w:color="auto"/>
              <w:bottom w:val="single" w:sz="4" w:space="0" w:color="auto"/>
              <w:right w:val="single" w:sz="4" w:space="0" w:color="auto"/>
            </w:tcBorders>
            <w:vAlign w:val="bottom"/>
          </w:tcPr>
          <w:p w14:paraId="6F897F85"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19.78168</w:t>
            </w:r>
          </w:p>
        </w:tc>
        <w:tc>
          <w:tcPr>
            <w:tcW w:w="1417" w:type="dxa"/>
            <w:tcBorders>
              <w:top w:val="single" w:sz="4" w:space="0" w:color="auto"/>
              <w:left w:val="single" w:sz="4" w:space="0" w:color="auto"/>
              <w:bottom w:val="single" w:sz="4" w:space="0" w:color="auto"/>
              <w:right w:val="single" w:sz="4" w:space="0" w:color="auto"/>
            </w:tcBorders>
            <w:vAlign w:val="bottom"/>
          </w:tcPr>
          <w:p w14:paraId="08EDF4AD"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3.033403</w:t>
            </w:r>
          </w:p>
        </w:tc>
        <w:tc>
          <w:tcPr>
            <w:tcW w:w="1576" w:type="dxa"/>
            <w:tcBorders>
              <w:top w:val="single" w:sz="4" w:space="0" w:color="auto"/>
              <w:left w:val="single" w:sz="4" w:space="0" w:color="auto"/>
              <w:bottom w:val="single" w:sz="4" w:space="0" w:color="auto"/>
              <w:right w:val="single" w:sz="4" w:space="0" w:color="auto"/>
            </w:tcBorders>
            <w:vAlign w:val="bottom"/>
          </w:tcPr>
          <w:p w14:paraId="2BD03EC8"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6.521285</w:t>
            </w:r>
          </w:p>
        </w:tc>
        <w:tc>
          <w:tcPr>
            <w:tcW w:w="1733" w:type="dxa"/>
            <w:tcBorders>
              <w:top w:val="single" w:sz="4" w:space="0" w:color="auto"/>
              <w:left w:val="single" w:sz="4" w:space="0" w:color="auto"/>
              <w:bottom w:val="single" w:sz="4" w:space="0" w:color="auto"/>
              <w:right w:val="single" w:sz="4" w:space="0" w:color="auto"/>
            </w:tcBorders>
            <w:vAlign w:val="bottom"/>
          </w:tcPr>
          <w:p w14:paraId="6F053F64"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0.0000</w:t>
            </w:r>
          </w:p>
        </w:tc>
      </w:tr>
      <w:tr w:rsidR="00927211" w:rsidRPr="007A4984" w14:paraId="41129A7E"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26F93A4B"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TPT</w:t>
            </w:r>
          </w:p>
        </w:tc>
        <w:tc>
          <w:tcPr>
            <w:tcW w:w="1418" w:type="dxa"/>
            <w:tcBorders>
              <w:top w:val="single" w:sz="4" w:space="0" w:color="auto"/>
              <w:left w:val="single" w:sz="4" w:space="0" w:color="auto"/>
              <w:bottom w:val="single" w:sz="4" w:space="0" w:color="auto"/>
              <w:right w:val="single" w:sz="4" w:space="0" w:color="auto"/>
            </w:tcBorders>
            <w:vAlign w:val="bottom"/>
          </w:tcPr>
          <w:p w14:paraId="423E1A06"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1.207176</w:t>
            </w:r>
          </w:p>
        </w:tc>
        <w:tc>
          <w:tcPr>
            <w:tcW w:w="1417" w:type="dxa"/>
            <w:tcBorders>
              <w:top w:val="single" w:sz="4" w:space="0" w:color="auto"/>
              <w:left w:val="single" w:sz="4" w:space="0" w:color="auto"/>
              <w:bottom w:val="single" w:sz="4" w:space="0" w:color="auto"/>
              <w:right w:val="single" w:sz="4" w:space="0" w:color="auto"/>
            </w:tcBorders>
            <w:vAlign w:val="bottom"/>
          </w:tcPr>
          <w:p w14:paraId="63793CA8"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0.122180</w:t>
            </w:r>
          </w:p>
        </w:tc>
        <w:tc>
          <w:tcPr>
            <w:tcW w:w="1576" w:type="dxa"/>
            <w:tcBorders>
              <w:top w:val="single" w:sz="4" w:space="0" w:color="auto"/>
              <w:left w:val="single" w:sz="4" w:space="0" w:color="auto"/>
              <w:bottom w:val="single" w:sz="4" w:space="0" w:color="auto"/>
              <w:right w:val="single" w:sz="4" w:space="0" w:color="auto"/>
            </w:tcBorders>
            <w:vAlign w:val="bottom"/>
          </w:tcPr>
          <w:p w14:paraId="3D18E920"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9.880302</w:t>
            </w:r>
          </w:p>
        </w:tc>
        <w:tc>
          <w:tcPr>
            <w:tcW w:w="1733" w:type="dxa"/>
            <w:tcBorders>
              <w:top w:val="single" w:sz="4" w:space="0" w:color="auto"/>
              <w:left w:val="single" w:sz="4" w:space="0" w:color="auto"/>
              <w:bottom w:val="single" w:sz="4" w:space="0" w:color="auto"/>
              <w:right w:val="single" w:sz="4" w:space="0" w:color="auto"/>
            </w:tcBorders>
            <w:vAlign w:val="bottom"/>
          </w:tcPr>
          <w:p w14:paraId="7FB44045"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0.0001</w:t>
            </w:r>
          </w:p>
        </w:tc>
      </w:tr>
      <w:tr w:rsidR="00927211" w:rsidRPr="007A4984" w14:paraId="1F522110"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01BD9E2E"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TPAK</w:t>
            </w:r>
          </w:p>
        </w:tc>
        <w:tc>
          <w:tcPr>
            <w:tcW w:w="1418" w:type="dxa"/>
            <w:tcBorders>
              <w:top w:val="single" w:sz="4" w:space="0" w:color="auto"/>
              <w:left w:val="single" w:sz="4" w:space="0" w:color="auto"/>
              <w:bottom w:val="single" w:sz="4" w:space="0" w:color="auto"/>
              <w:right w:val="single" w:sz="4" w:space="0" w:color="auto"/>
            </w:tcBorders>
            <w:vAlign w:val="bottom"/>
          </w:tcPr>
          <w:p w14:paraId="626A0C59"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-0.175279</w:t>
            </w:r>
          </w:p>
        </w:tc>
        <w:tc>
          <w:tcPr>
            <w:tcW w:w="1417" w:type="dxa"/>
            <w:tcBorders>
              <w:top w:val="single" w:sz="4" w:space="0" w:color="auto"/>
              <w:left w:val="single" w:sz="4" w:space="0" w:color="auto"/>
              <w:bottom w:val="single" w:sz="4" w:space="0" w:color="auto"/>
              <w:right w:val="single" w:sz="4" w:space="0" w:color="auto"/>
            </w:tcBorders>
            <w:vAlign w:val="bottom"/>
          </w:tcPr>
          <w:p w14:paraId="196890AC"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0.038702</w:t>
            </w:r>
          </w:p>
        </w:tc>
        <w:tc>
          <w:tcPr>
            <w:tcW w:w="1576" w:type="dxa"/>
            <w:tcBorders>
              <w:top w:val="single" w:sz="4" w:space="0" w:color="auto"/>
              <w:left w:val="single" w:sz="4" w:space="0" w:color="auto"/>
              <w:bottom w:val="single" w:sz="4" w:space="0" w:color="auto"/>
              <w:right w:val="single" w:sz="4" w:space="0" w:color="auto"/>
            </w:tcBorders>
            <w:vAlign w:val="bottom"/>
          </w:tcPr>
          <w:p w14:paraId="5B82D4E6"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-4.528982</w:t>
            </w:r>
          </w:p>
        </w:tc>
        <w:tc>
          <w:tcPr>
            <w:tcW w:w="1733" w:type="dxa"/>
            <w:tcBorders>
              <w:top w:val="single" w:sz="4" w:space="0" w:color="auto"/>
              <w:left w:val="single" w:sz="4" w:space="0" w:color="auto"/>
              <w:bottom w:val="single" w:sz="4" w:space="0" w:color="auto"/>
              <w:right w:val="single" w:sz="4" w:space="0" w:color="auto"/>
            </w:tcBorders>
            <w:vAlign w:val="bottom"/>
          </w:tcPr>
          <w:p w14:paraId="452E6128"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0.0000</w:t>
            </w:r>
          </w:p>
        </w:tc>
      </w:tr>
      <w:tr w:rsidR="00927211" w:rsidRPr="007A4984" w14:paraId="07A7A5AD"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5784FFBF"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R-squared</w:t>
            </w:r>
          </w:p>
        </w:tc>
        <w:tc>
          <w:tcPr>
            <w:tcW w:w="1418" w:type="dxa"/>
            <w:tcBorders>
              <w:top w:val="single" w:sz="4" w:space="0" w:color="auto"/>
              <w:left w:val="single" w:sz="4" w:space="0" w:color="auto"/>
              <w:bottom w:val="single" w:sz="4" w:space="0" w:color="auto"/>
              <w:right w:val="single" w:sz="4" w:space="0" w:color="auto"/>
            </w:tcBorders>
            <w:vAlign w:val="bottom"/>
          </w:tcPr>
          <w:p w14:paraId="2454152F"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0.686746</w:t>
            </w:r>
          </w:p>
        </w:tc>
        <w:tc>
          <w:tcPr>
            <w:tcW w:w="2993" w:type="dxa"/>
            <w:gridSpan w:val="2"/>
            <w:tcBorders>
              <w:top w:val="single" w:sz="4" w:space="0" w:color="auto"/>
              <w:left w:val="single" w:sz="4" w:space="0" w:color="auto"/>
              <w:bottom w:val="single" w:sz="4" w:space="0" w:color="auto"/>
              <w:right w:val="single" w:sz="4" w:space="0" w:color="auto"/>
            </w:tcBorders>
            <w:vAlign w:val="bottom"/>
          </w:tcPr>
          <w:p w14:paraId="48BD7AE6"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    Mean dependent var</w:t>
            </w:r>
          </w:p>
        </w:tc>
        <w:tc>
          <w:tcPr>
            <w:tcW w:w="1733" w:type="dxa"/>
            <w:tcBorders>
              <w:top w:val="single" w:sz="4" w:space="0" w:color="auto"/>
              <w:left w:val="single" w:sz="4" w:space="0" w:color="auto"/>
              <w:bottom w:val="single" w:sz="4" w:space="0" w:color="auto"/>
              <w:right w:val="single" w:sz="4" w:space="0" w:color="auto"/>
            </w:tcBorders>
            <w:vAlign w:val="bottom"/>
          </w:tcPr>
          <w:p w14:paraId="2820A6B1"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15.01795</w:t>
            </w:r>
          </w:p>
        </w:tc>
      </w:tr>
      <w:tr w:rsidR="00927211" w:rsidRPr="007A4984" w14:paraId="22CF13E8"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458B9B5D" w14:textId="61D84F5D"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AdjustedR-squared</w:t>
            </w:r>
          </w:p>
        </w:tc>
        <w:tc>
          <w:tcPr>
            <w:tcW w:w="1418" w:type="dxa"/>
            <w:tcBorders>
              <w:top w:val="single" w:sz="4" w:space="0" w:color="auto"/>
              <w:left w:val="single" w:sz="4" w:space="0" w:color="auto"/>
              <w:bottom w:val="single" w:sz="4" w:space="0" w:color="auto"/>
              <w:right w:val="single" w:sz="4" w:space="0" w:color="auto"/>
            </w:tcBorders>
            <w:vAlign w:val="bottom"/>
          </w:tcPr>
          <w:p w14:paraId="17D41D7F"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0.682781</w:t>
            </w:r>
          </w:p>
        </w:tc>
        <w:tc>
          <w:tcPr>
            <w:tcW w:w="2993" w:type="dxa"/>
            <w:gridSpan w:val="2"/>
            <w:tcBorders>
              <w:top w:val="single" w:sz="4" w:space="0" w:color="auto"/>
              <w:left w:val="single" w:sz="4" w:space="0" w:color="auto"/>
              <w:bottom w:val="single" w:sz="4" w:space="0" w:color="auto"/>
              <w:right w:val="single" w:sz="4" w:space="0" w:color="auto"/>
            </w:tcBorders>
            <w:vAlign w:val="bottom"/>
          </w:tcPr>
          <w:p w14:paraId="3F7C5B64"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    S.D. dependent var</w:t>
            </w:r>
          </w:p>
        </w:tc>
        <w:tc>
          <w:tcPr>
            <w:tcW w:w="1733" w:type="dxa"/>
            <w:tcBorders>
              <w:top w:val="single" w:sz="4" w:space="0" w:color="auto"/>
              <w:left w:val="single" w:sz="4" w:space="0" w:color="auto"/>
              <w:bottom w:val="single" w:sz="4" w:space="0" w:color="auto"/>
              <w:right w:val="single" w:sz="4" w:space="0" w:color="auto"/>
            </w:tcBorders>
            <w:vAlign w:val="bottom"/>
          </w:tcPr>
          <w:p w14:paraId="20CAE565"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4.055087</w:t>
            </w:r>
          </w:p>
        </w:tc>
      </w:tr>
      <w:tr w:rsidR="00927211" w:rsidRPr="007A4984" w14:paraId="6CB4E3AB"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7D3B784E"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S.E. of regression</w:t>
            </w:r>
          </w:p>
        </w:tc>
        <w:tc>
          <w:tcPr>
            <w:tcW w:w="1418" w:type="dxa"/>
            <w:tcBorders>
              <w:top w:val="single" w:sz="4" w:space="0" w:color="auto"/>
              <w:left w:val="single" w:sz="4" w:space="0" w:color="auto"/>
              <w:bottom w:val="single" w:sz="4" w:space="0" w:color="auto"/>
              <w:right w:val="single" w:sz="4" w:space="0" w:color="auto"/>
            </w:tcBorders>
            <w:vAlign w:val="bottom"/>
          </w:tcPr>
          <w:p w14:paraId="6D833E0C"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2.283915</w:t>
            </w:r>
          </w:p>
        </w:tc>
        <w:tc>
          <w:tcPr>
            <w:tcW w:w="2993" w:type="dxa"/>
            <w:gridSpan w:val="2"/>
            <w:tcBorders>
              <w:top w:val="single" w:sz="4" w:space="0" w:color="auto"/>
              <w:left w:val="single" w:sz="4" w:space="0" w:color="auto"/>
              <w:bottom w:val="single" w:sz="4" w:space="0" w:color="auto"/>
              <w:right w:val="single" w:sz="4" w:space="0" w:color="auto"/>
            </w:tcBorders>
            <w:vAlign w:val="bottom"/>
          </w:tcPr>
          <w:p w14:paraId="5EF039FC"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    Akaike info criterion</w:t>
            </w:r>
          </w:p>
        </w:tc>
        <w:tc>
          <w:tcPr>
            <w:tcW w:w="1733" w:type="dxa"/>
            <w:tcBorders>
              <w:top w:val="single" w:sz="4" w:space="0" w:color="auto"/>
              <w:left w:val="single" w:sz="4" w:space="0" w:color="auto"/>
              <w:bottom w:val="single" w:sz="4" w:space="0" w:color="auto"/>
              <w:right w:val="single" w:sz="4" w:space="0" w:color="auto"/>
            </w:tcBorders>
            <w:vAlign w:val="bottom"/>
          </w:tcPr>
          <w:p w14:paraId="40ED5A7A"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4.508117</w:t>
            </w:r>
          </w:p>
        </w:tc>
      </w:tr>
      <w:tr w:rsidR="00927211" w:rsidRPr="007A4984" w14:paraId="65B62E8F"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728EFFCB"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Sum squared resid</w:t>
            </w:r>
          </w:p>
        </w:tc>
        <w:tc>
          <w:tcPr>
            <w:tcW w:w="1418" w:type="dxa"/>
            <w:tcBorders>
              <w:top w:val="single" w:sz="4" w:space="0" w:color="auto"/>
              <w:left w:val="single" w:sz="4" w:space="0" w:color="auto"/>
              <w:bottom w:val="single" w:sz="4" w:space="0" w:color="auto"/>
              <w:right w:val="single" w:sz="4" w:space="0" w:color="auto"/>
            </w:tcBorders>
            <w:vAlign w:val="bottom"/>
          </w:tcPr>
          <w:p w14:paraId="72F80581"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824.1700</w:t>
            </w:r>
          </w:p>
        </w:tc>
        <w:tc>
          <w:tcPr>
            <w:tcW w:w="2993" w:type="dxa"/>
            <w:gridSpan w:val="2"/>
            <w:tcBorders>
              <w:top w:val="single" w:sz="4" w:space="0" w:color="auto"/>
              <w:left w:val="single" w:sz="4" w:space="0" w:color="auto"/>
              <w:bottom w:val="single" w:sz="4" w:space="0" w:color="auto"/>
              <w:right w:val="single" w:sz="4" w:space="0" w:color="auto"/>
            </w:tcBorders>
            <w:vAlign w:val="bottom"/>
          </w:tcPr>
          <w:p w14:paraId="2FF82252"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    Schwarz criterion</w:t>
            </w:r>
          </w:p>
        </w:tc>
        <w:tc>
          <w:tcPr>
            <w:tcW w:w="1733" w:type="dxa"/>
            <w:tcBorders>
              <w:top w:val="single" w:sz="4" w:space="0" w:color="auto"/>
              <w:left w:val="single" w:sz="4" w:space="0" w:color="auto"/>
              <w:bottom w:val="single" w:sz="4" w:space="0" w:color="auto"/>
              <w:right w:val="single" w:sz="4" w:space="0" w:color="auto"/>
            </w:tcBorders>
            <w:vAlign w:val="bottom"/>
          </w:tcPr>
          <w:p w14:paraId="5D497263"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4.565534</w:t>
            </w:r>
          </w:p>
        </w:tc>
      </w:tr>
      <w:tr w:rsidR="00927211" w:rsidRPr="007A4984" w14:paraId="708F85CC"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192501B0"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Log likelihood</w:t>
            </w:r>
          </w:p>
        </w:tc>
        <w:tc>
          <w:tcPr>
            <w:tcW w:w="1418" w:type="dxa"/>
            <w:tcBorders>
              <w:top w:val="single" w:sz="4" w:space="0" w:color="auto"/>
              <w:left w:val="single" w:sz="4" w:space="0" w:color="auto"/>
              <w:bottom w:val="single" w:sz="4" w:space="0" w:color="auto"/>
              <w:right w:val="single" w:sz="4" w:space="0" w:color="auto"/>
            </w:tcBorders>
            <w:vAlign w:val="bottom"/>
          </w:tcPr>
          <w:p w14:paraId="3BBE7955"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-359.9034</w:t>
            </w:r>
          </w:p>
        </w:tc>
        <w:tc>
          <w:tcPr>
            <w:tcW w:w="2993" w:type="dxa"/>
            <w:gridSpan w:val="2"/>
            <w:tcBorders>
              <w:top w:val="single" w:sz="4" w:space="0" w:color="auto"/>
              <w:left w:val="single" w:sz="4" w:space="0" w:color="auto"/>
              <w:bottom w:val="single" w:sz="4" w:space="0" w:color="auto"/>
              <w:right w:val="single" w:sz="4" w:space="0" w:color="auto"/>
            </w:tcBorders>
            <w:vAlign w:val="bottom"/>
          </w:tcPr>
          <w:p w14:paraId="154174CB"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    Hannan-Quinn criter.</w:t>
            </w:r>
          </w:p>
        </w:tc>
        <w:tc>
          <w:tcPr>
            <w:tcW w:w="1733" w:type="dxa"/>
            <w:tcBorders>
              <w:top w:val="single" w:sz="4" w:space="0" w:color="auto"/>
              <w:left w:val="single" w:sz="4" w:space="0" w:color="auto"/>
              <w:bottom w:val="single" w:sz="4" w:space="0" w:color="auto"/>
              <w:right w:val="single" w:sz="4" w:space="0" w:color="auto"/>
            </w:tcBorders>
            <w:vAlign w:val="bottom"/>
          </w:tcPr>
          <w:p w14:paraId="0B2A4B18"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4.531430</w:t>
            </w:r>
          </w:p>
        </w:tc>
      </w:tr>
      <w:tr w:rsidR="00927211" w:rsidRPr="007A4984" w14:paraId="6DB1C47E"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4D0CD826"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F-statistic</w:t>
            </w:r>
          </w:p>
        </w:tc>
        <w:tc>
          <w:tcPr>
            <w:tcW w:w="1418" w:type="dxa"/>
            <w:tcBorders>
              <w:top w:val="single" w:sz="4" w:space="0" w:color="auto"/>
              <w:left w:val="single" w:sz="4" w:space="0" w:color="auto"/>
              <w:bottom w:val="single" w:sz="4" w:space="0" w:color="auto"/>
              <w:right w:val="single" w:sz="4" w:space="0" w:color="auto"/>
            </w:tcBorders>
            <w:vAlign w:val="bottom"/>
          </w:tcPr>
          <w:p w14:paraId="00CCF902"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173.1916</w:t>
            </w:r>
          </w:p>
        </w:tc>
        <w:tc>
          <w:tcPr>
            <w:tcW w:w="2993" w:type="dxa"/>
            <w:gridSpan w:val="2"/>
            <w:tcBorders>
              <w:top w:val="single" w:sz="4" w:space="0" w:color="auto"/>
              <w:left w:val="single" w:sz="4" w:space="0" w:color="auto"/>
              <w:bottom w:val="single" w:sz="4" w:space="0" w:color="auto"/>
              <w:right w:val="single" w:sz="4" w:space="0" w:color="auto"/>
            </w:tcBorders>
            <w:vAlign w:val="bottom"/>
          </w:tcPr>
          <w:p w14:paraId="527974FA"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    Durbin-Watson stat</w:t>
            </w:r>
          </w:p>
        </w:tc>
        <w:tc>
          <w:tcPr>
            <w:tcW w:w="1733" w:type="dxa"/>
            <w:tcBorders>
              <w:top w:val="single" w:sz="4" w:space="0" w:color="auto"/>
              <w:left w:val="single" w:sz="4" w:space="0" w:color="auto"/>
              <w:bottom w:val="single" w:sz="4" w:space="0" w:color="auto"/>
              <w:right w:val="single" w:sz="4" w:space="0" w:color="auto"/>
            </w:tcBorders>
            <w:vAlign w:val="bottom"/>
          </w:tcPr>
          <w:p w14:paraId="18897DF4" w14:textId="77777777" w:rsidR="00927211" w:rsidRPr="007A4984" w:rsidRDefault="00927211"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2.028556</w:t>
            </w:r>
          </w:p>
        </w:tc>
      </w:tr>
      <w:tr w:rsidR="00866E84" w:rsidRPr="007A4984" w14:paraId="18B5805E" w14:textId="77777777" w:rsidTr="007A4984">
        <w:trPr>
          <w:trHeight w:val="231"/>
          <w:jc w:val="center"/>
        </w:trPr>
        <w:tc>
          <w:tcPr>
            <w:tcW w:w="2206" w:type="dxa"/>
            <w:tcBorders>
              <w:top w:val="single" w:sz="4" w:space="0" w:color="auto"/>
              <w:left w:val="single" w:sz="4" w:space="0" w:color="auto"/>
              <w:bottom w:val="single" w:sz="4" w:space="0" w:color="auto"/>
              <w:right w:val="single" w:sz="4" w:space="0" w:color="auto"/>
            </w:tcBorders>
            <w:vAlign w:val="bottom"/>
          </w:tcPr>
          <w:p w14:paraId="57CC0138" w14:textId="77777777" w:rsidR="00866E84" w:rsidRPr="007A4984" w:rsidRDefault="00866E84"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Prob(F-statistic)</w:t>
            </w:r>
          </w:p>
        </w:tc>
        <w:tc>
          <w:tcPr>
            <w:tcW w:w="1418" w:type="dxa"/>
            <w:tcBorders>
              <w:top w:val="single" w:sz="4" w:space="0" w:color="auto"/>
              <w:left w:val="single" w:sz="4" w:space="0" w:color="auto"/>
              <w:bottom w:val="single" w:sz="4" w:space="0" w:color="auto"/>
              <w:right w:val="single" w:sz="4" w:space="0" w:color="auto"/>
            </w:tcBorders>
            <w:vAlign w:val="bottom"/>
          </w:tcPr>
          <w:p w14:paraId="4857AD51" w14:textId="77777777" w:rsidR="00866E84" w:rsidRPr="007A4984" w:rsidRDefault="00866E84" w:rsidP="00BE42D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0.000000</w:t>
            </w:r>
          </w:p>
        </w:tc>
        <w:tc>
          <w:tcPr>
            <w:tcW w:w="4727" w:type="dxa"/>
            <w:gridSpan w:val="3"/>
            <w:tcBorders>
              <w:top w:val="single" w:sz="4" w:space="0" w:color="auto"/>
              <w:left w:val="single" w:sz="4" w:space="0" w:color="auto"/>
              <w:bottom w:val="single" w:sz="4" w:space="0" w:color="auto"/>
              <w:right w:val="single" w:sz="4" w:space="0" w:color="auto"/>
            </w:tcBorders>
            <w:vAlign w:val="bottom"/>
          </w:tcPr>
          <w:p w14:paraId="6B00CC96" w14:textId="77777777" w:rsidR="00866E84" w:rsidRPr="007A4984" w:rsidRDefault="00866E84" w:rsidP="00BE42D6">
            <w:pPr>
              <w:autoSpaceDE w:val="0"/>
              <w:autoSpaceDN w:val="0"/>
              <w:adjustRightInd w:val="0"/>
              <w:spacing w:after="0" w:line="240" w:lineRule="auto"/>
              <w:ind w:right="20"/>
              <w:jc w:val="both"/>
              <w:rPr>
                <w:rFonts w:ascii="Palatino Linotype" w:hAnsi="Palatino Linotype" w:cs="Arial"/>
                <w:color w:val="000000"/>
                <w:lang w:val="id-ID"/>
              </w:rPr>
            </w:pPr>
          </w:p>
        </w:tc>
      </w:tr>
    </w:tbl>
    <w:p w14:paraId="56D76AD4" w14:textId="5D2A0257" w:rsidR="003E054D" w:rsidRPr="007A4984" w:rsidRDefault="007A4984" w:rsidP="007A4984">
      <w:pPr>
        <w:rPr>
          <w:lang w:val="id-ID"/>
        </w:rPr>
      </w:pPr>
      <w:bookmarkStart w:id="13" w:name="_Toc204721450"/>
      <w:r w:rsidRPr="007A4984">
        <w:rPr>
          <w:rFonts w:ascii="Palatino Linotype" w:hAnsi="Palatino Linotype" w:cs="Times New Roman"/>
          <w:i/>
          <w:iCs/>
          <w:color w:val="000000"/>
          <w:lang w:val="id-ID"/>
        </w:rPr>
        <w:t xml:space="preserve">        </w:t>
      </w:r>
      <w:r w:rsidR="007443B5" w:rsidRPr="007A4984">
        <w:rPr>
          <w:rFonts w:ascii="Palatino Linotype" w:hAnsi="Palatino Linotype" w:cs="Times New Roman"/>
          <w:i/>
          <w:iCs/>
          <w:color w:val="000000"/>
          <w:lang w:val="id-ID"/>
        </w:rPr>
        <w:t>Sumber: Data Diolah Eviews 12(</w:t>
      </w:r>
      <w:r w:rsidR="007443B5" w:rsidRPr="00735C43">
        <w:rPr>
          <w:rFonts w:ascii="Palatino Linotype" w:hAnsi="Palatino Linotype" w:cs="Times New Roman"/>
          <w:i/>
          <w:iCs/>
          <w:color w:val="000000"/>
          <w:lang w:val="id-ID"/>
        </w:rPr>
        <w:t>2025)</w:t>
      </w:r>
    </w:p>
    <w:p w14:paraId="271BC71B" w14:textId="77DF9155" w:rsidR="00927211" w:rsidRPr="007A4984" w:rsidRDefault="00927211" w:rsidP="003E054D">
      <w:pPr>
        <w:keepNext/>
        <w:keepLines/>
        <w:spacing w:after="0" w:line="360" w:lineRule="auto"/>
        <w:ind w:firstLine="720"/>
        <w:jc w:val="both"/>
        <w:outlineLvl w:val="2"/>
        <w:rPr>
          <w:rFonts w:ascii="Palatino Linotype" w:eastAsiaTheme="majorEastAsia" w:hAnsi="Palatino Linotype" w:cstheme="majorBidi"/>
          <w:b/>
          <w:lang w:val="id-ID"/>
        </w:rPr>
      </w:pPr>
      <w:r w:rsidRPr="007A4984">
        <w:rPr>
          <w:rFonts w:ascii="Palatino Linotype" w:eastAsiaTheme="majorEastAsia" w:hAnsi="Palatino Linotype" w:cstheme="majorBidi"/>
          <w:b/>
          <w:lang w:val="id-ID"/>
        </w:rPr>
        <w:t>Model Regresi Common Effect</w:t>
      </w:r>
      <w:bookmarkEnd w:id="13"/>
      <w:r w:rsidRPr="007A4984">
        <w:rPr>
          <w:rFonts w:ascii="Palatino Linotype" w:eastAsiaTheme="majorEastAsia" w:hAnsi="Palatino Linotype" w:cstheme="majorBidi"/>
          <w:b/>
          <w:lang w:val="id-ID"/>
        </w:rPr>
        <w:t xml:space="preserve"> </w:t>
      </w:r>
    </w:p>
    <w:p w14:paraId="2139F0C5" w14:textId="182845E6" w:rsidR="00522E11" w:rsidRPr="007A4984" w:rsidRDefault="00927211" w:rsidP="007443B5">
      <w:pPr>
        <w:spacing w:after="0" w:line="360" w:lineRule="auto"/>
        <w:ind w:left="720" w:firstLine="720"/>
        <w:jc w:val="both"/>
        <w:rPr>
          <w:rFonts w:ascii="Palatino Linotype" w:hAnsi="Palatino Linotype" w:cs="Times New Roman"/>
          <w:lang w:val="id-ID"/>
        </w:rPr>
      </w:pPr>
      <w:r w:rsidRPr="007A4984">
        <w:rPr>
          <w:rFonts w:ascii="Palatino Linotype" w:hAnsi="Palatino Linotype" w:cs="Times New Roman"/>
          <w:lang w:val="id-ID"/>
        </w:rPr>
        <w:t>Berdasarkan hasil pengujian sebelumnya, model terbaik yang terpilih merupakan</w:t>
      </w:r>
      <w:r w:rsidR="003E054D" w:rsidRPr="007A4984">
        <w:rPr>
          <w:rFonts w:ascii="Palatino Linotype" w:hAnsi="Palatino Linotype" w:cs="Times New Roman"/>
          <w:lang w:val="id-ID"/>
        </w:rPr>
        <w:t xml:space="preserve"> </w:t>
      </w:r>
      <w:r w:rsidRPr="007A4984">
        <w:rPr>
          <w:rFonts w:ascii="Palatino Linotype" w:hAnsi="Palatino Linotype" w:cs="Times New Roman"/>
          <w:lang w:val="id-ID"/>
        </w:rPr>
        <w:t xml:space="preserve">metode </w:t>
      </w:r>
      <w:r w:rsidRPr="007A4984">
        <w:rPr>
          <w:rFonts w:ascii="Palatino Linotype" w:hAnsi="Palatino Linotype" w:cs="Times New Roman"/>
          <w:i/>
          <w:iCs/>
          <w:lang w:val="id-ID"/>
        </w:rPr>
        <w:t>common effect model</w:t>
      </w:r>
      <w:r w:rsidRPr="007A4984">
        <w:rPr>
          <w:rFonts w:ascii="Palatino Linotype" w:hAnsi="Palatino Linotype" w:cs="Times New Roman"/>
          <w:lang w:val="id-ID"/>
        </w:rPr>
        <w:t xml:space="preserve">, sehingga penelitian ini akan menggunakan metode </w:t>
      </w:r>
      <w:r w:rsidRPr="007A4984">
        <w:rPr>
          <w:rFonts w:ascii="Palatino Linotype" w:hAnsi="Palatino Linotype" w:cs="Times New Roman"/>
          <w:i/>
          <w:iCs/>
          <w:lang w:val="id-ID"/>
        </w:rPr>
        <w:t>common effect.</w:t>
      </w:r>
      <w:bookmarkStart w:id="14" w:name="_Toc204721222"/>
    </w:p>
    <w:p w14:paraId="626B1884" w14:textId="66AD4B98" w:rsidR="00927211" w:rsidRPr="007A4984" w:rsidRDefault="00927211" w:rsidP="0046504C">
      <w:pPr>
        <w:spacing w:after="0" w:line="360" w:lineRule="auto"/>
        <w:jc w:val="center"/>
        <w:rPr>
          <w:rFonts w:ascii="Palatino Linotype" w:hAnsi="Palatino Linotype" w:cs="Times New Roman"/>
          <w:b/>
          <w:bCs/>
          <w:lang w:val="id-ID"/>
        </w:rPr>
      </w:pPr>
      <w:r w:rsidRPr="007A4984">
        <w:rPr>
          <w:rFonts w:ascii="Palatino Linotype" w:hAnsi="Palatino Linotype" w:cs="Times New Roman"/>
          <w:b/>
          <w:bCs/>
          <w:lang w:val="id-ID"/>
        </w:rPr>
        <w:t>Tabel Hasil pengujian commont effect</w:t>
      </w:r>
      <w:bookmarkEnd w:id="14"/>
    </w:p>
    <w:tbl>
      <w:tblPr>
        <w:tblW w:w="0" w:type="auto"/>
        <w:tblInd w:w="567" w:type="dxa"/>
        <w:tblLayout w:type="fixed"/>
        <w:tblCellMar>
          <w:left w:w="0" w:type="dxa"/>
          <w:right w:w="0" w:type="dxa"/>
        </w:tblCellMar>
        <w:tblLook w:val="0000" w:firstRow="0" w:lastRow="0" w:firstColumn="0" w:lastColumn="0" w:noHBand="0" w:noVBand="0"/>
      </w:tblPr>
      <w:tblGrid>
        <w:gridCol w:w="2868"/>
        <w:gridCol w:w="1471"/>
        <w:gridCol w:w="1282"/>
        <w:gridCol w:w="1441"/>
        <w:gridCol w:w="1188"/>
      </w:tblGrid>
      <w:tr w:rsidR="00927211" w:rsidRPr="007A4984" w14:paraId="14577DA3" w14:textId="77777777" w:rsidTr="007A4984">
        <w:trPr>
          <w:trHeight w:val="242"/>
        </w:trPr>
        <w:tc>
          <w:tcPr>
            <w:tcW w:w="7062" w:type="dxa"/>
            <w:gridSpan w:val="4"/>
            <w:tcBorders>
              <w:top w:val="nil"/>
              <w:left w:val="nil"/>
              <w:bottom w:val="nil"/>
              <w:right w:val="nil"/>
            </w:tcBorders>
            <w:vAlign w:val="bottom"/>
          </w:tcPr>
          <w:p w14:paraId="419872E5"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Dependent Variable: KEMISKINAN</w:t>
            </w:r>
          </w:p>
        </w:tc>
        <w:tc>
          <w:tcPr>
            <w:tcW w:w="1188" w:type="dxa"/>
            <w:tcBorders>
              <w:top w:val="nil"/>
              <w:left w:val="nil"/>
              <w:bottom w:val="nil"/>
              <w:right w:val="nil"/>
            </w:tcBorders>
            <w:vAlign w:val="bottom"/>
          </w:tcPr>
          <w:p w14:paraId="107C8719" w14:textId="77777777" w:rsidR="00927211" w:rsidRPr="007A4984" w:rsidRDefault="00927211" w:rsidP="00BE42D6">
            <w:pPr>
              <w:autoSpaceDE w:val="0"/>
              <w:autoSpaceDN w:val="0"/>
              <w:adjustRightInd w:val="0"/>
              <w:spacing w:after="0" w:line="240" w:lineRule="auto"/>
              <w:jc w:val="both"/>
              <w:rPr>
                <w:rFonts w:ascii="Palatino Linotype" w:hAnsi="Palatino Linotype" w:cs="Arial"/>
                <w:color w:val="000000"/>
                <w:lang w:val="id-ID"/>
              </w:rPr>
            </w:pPr>
          </w:p>
        </w:tc>
      </w:tr>
      <w:tr w:rsidR="00927211" w:rsidRPr="007A4984" w14:paraId="78991ABC" w14:textId="77777777" w:rsidTr="007A4984">
        <w:trPr>
          <w:trHeight w:val="242"/>
        </w:trPr>
        <w:tc>
          <w:tcPr>
            <w:tcW w:w="2868" w:type="dxa"/>
            <w:tcBorders>
              <w:top w:val="single" w:sz="4" w:space="0" w:color="auto"/>
              <w:left w:val="single" w:sz="4" w:space="0" w:color="auto"/>
              <w:bottom w:val="single" w:sz="4" w:space="0" w:color="auto"/>
              <w:right w:val="single" w:sz="4" w:space="0" w:color="auto"/>
            </w:tcBorders>
            <w:vAlign w:val="bottom"/>
          </w:tcPr>
          <w:p w14:paraId="73EC7F30" w14:textId="77777777" w:rsidR="00927211" w:rsidRPr="007A4984" w:rsidRDefault="00927211" w:rsidP="00BE42D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Variable</w:t>
            </w:r>
          </w:p>
        </w:tc>
        <w:tc>
          <w:tcPr>
            <w:tcW w:w="1471" w:type="dxa"/>
            <w:tcBorders>
              <w:top w:val="single" w:sz="4" w:space="0" w:color="auto"/>
              <w:left w:val="single" w:sz="4" w:space="0" w:color="auto"/>
              <w:bottom w:val="single" w:sz="4" w:space="0" w:color="auto"/>
              <w:right w:val="single" w:sz="4" w:space="0" w:color="auto"/>
            </w:tcBorders>
            <w:vAlign w:val="bottom"/>
          </w:tcPr>
          <w:p w14:paraId="52D85B88"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Coefficient</w:t>
            </w:r>
          </w:p>
        </w:tc>
        <w:tc>
          <w:tcPr>
            <w:tcW w:w="1282" w:type="dxa"/>
            <w:tcBorders>
              <w:top w:val="single" w:sz="4" w:space="0" w:color="auto"/>
              <w:left w:val="single" w:sz="4" w:space="0" w:color="auto"/>
              <w:bottom w:val="single" w:sz="4" w:space="0" w:color="auto"/>
              <w:right w:val="single" w:sz="4" w:space="0" w:color="auto"/>
            </w:tcBorders>
            <w:vAlign w:val="bottom"/>
          </w:tcPr>
          <w:p w14:paraId="513C5D6D"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Std. Error</w:t>
            </w:r>
          </w:p>
        </w:tc>
        <w:tc>
          <w:tcPr>
            <w:tcW w:w="1441" w:type="dxa"/>
            <w:tcBorders>
              <w:top w:val="single" w:sz="4" w:space="0" w:color="auto"/>
              <w:left w:val="single" w:sz="4" w:space="0" w:color="auto"/>
              <w:bottom w:val="single" w:sz="4" w:space="0" w:color="auto"/>
              <w:right w:val="single" w:sz="4" w:space="0" w:color="auto"/>
            </w:tcBorders>
            <w:vAlign w:val="bottom"/>
          </w:tcPr>
          <w:p w14:paraId="13D90374"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t-Statistic</w:t>
            </w:r>
          </w:p>
        </w:tc>
        <w:tc>
          <w:tcPr>
            <w:tcW w:w="1188" w:type="dxa"/>
            <w:tcBorders>
              <w:top w:val="single" w:sz="4" w:space="0" w:color="auto"/>
              <w:left w:val="single" w:sz="4" w:space="0" w:color="auto"/>
              <w:bottom w:val="single" w:sz="4" w:space="0" w:color="auto"/>
              <w:right w:val="single" w:sz="4" w:space="0" w:color="auto"/>
            </w:tcBorders>
            <w:vAlign w:val="bottom"/>
          </w:tcPr>
          <w:p w14:paraId="07663F5A" w14:textId="1BA96FE6"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Prob.</w:t>
            </w:r>
          </w:p>
        </w:tc>
      </w:tr>
      <w:tr w:rsidR="00927211" w:rsidRPr="007A4984" w14:paraId="6BD20236" w14:textId="77777777" w:rsidTr="007A4984">
        <w:trPr>
          <w:trHeight w:val="242"/>
        </w:trPr>
        <w:tc>
          <w:tcPr>
            <w:tcW w:w="2868" w:type="dxa"/>
            <w:tcBorders>
              <w:top w:val="single" w:sz="4" w:space="0" w:color="auto"/>
              <w:left w:val="single" w:sz="4" w:space="0" w:color="auto"/>
              <w:bottom w:val="single" w:sz="4" w:space="0" w:color="auto"/>
              <w:right w:val="single" w:sz="4" w:space="0" w:color="auto"/>
            </w:tcBorders>
            <w:vAlign w:val="bottom"/>
          </w:tcPr>
          <w:p w14:paraId="32081970" w14:textId="77777777" w:rsidR="00927211" w:rsidRPr="007A4984" w:rsidRDefault="00927211" w:rsidP="00BE42D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C</w:t>
            </w:r>
          </w:p>
        </w:tc>
        <w:tc>
          <w:tcPr>
            <w:tcW w:w="1471" w:type="dxa"/>
            <w:tcBorders>
              <w:top w:val="single" w:sz="4" w:space="0" w:color="auto"/>
              <w:left w:val="single" w:sz="4" w:space="0" w:color="auto"/>
              <w:bottom w:val="single" w:sz="4" w:space="0" w:color="auto"/>
              <w:right w:val="single" w:sz="4" w:space="0" w:color="auto"/>
            </w:tcBorders>
            <w:vAlign w:val="bottom"/>
          </w:tcPr>
          <w:p w14:paraId="7BC4A145"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19.78168</w:t>
            </w:r>
          </w:p>
        </w:tc>
        <w:tc>
          <w:tcPr>
            <w:tcW w:w="1282" w:type="dxa"/>
            <w:tcBorders>
              <w:top w:val="single" w:sz="4" w:space="0" w:color="auto"/>
              <w:left w:val="single" w:sz="4" w:space="0" w:color="auto"/>
              <w:bottom w:val="single" w:sz="4" w:space="0" w:color="auto"/>
              <w:right w:val="single" w:sz="4" w:space="0" w:color="auto"/>
            </w:tcBorders>
            <w:vAlign w:val="bottom"/>
          </w:tcPr>
          <w:p w14:paraId="416BCE20"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3.033403</w:t>
            </w:r>
          </w:p>
        </w:tc>
        <w:tc>
          <w:tcPr>
            <w:tcW w:w="1441" w:type="dxa"/>
            <w:tcBorders>
              <w:top w:val="single" w:sz="4" w:space="0" w:color="auto"/>
              <w:left w:val="single" w:sz="4" w:space="0" w:color="auto"/>
              <w:bottom w:val="single" w:sz="4" w:space="0" w:color="auto"/>
              <w:right w:val="single" w:sz="4" w:space="0" w:color="auto"/>
            </w:tcBorders>
            <w:vAlign w:val="bottom"/>
          </w:tcPr>
          <w:p w14:paraId="5FCF776B"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6.521285</w:t>
            </w:r>
          </w:p>
        </w:tc>
        <w:tc>
          <w:tcPr>
            <w:tcW w:w="1188" w:type="dxa"/>
            <w:tcBorders>
              <w:top w:val="single" w:sz="4" w:space="0" w:color="auto"/>
              <w:left w:val="single" w:sz="4" w:space="0" w:color="auto"/>
              <w:bottom w:val="single" w:sz="4" w:space="0" w:color="auto"/>
              <w:right w:val="single" w:sz="4" w:space="0" w:color="auto"/>
            </w:tcBorders>
            <w:vAlign w:val="bottom"/>
          </w:tcPr>
          <w:p w14:paraId="35251CE3"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0.0000</w:t>
            </w:r>
          </w:p>
        </w:tc>
      </w:tr>
      <w:tr w:rsidR="00927211" w:rsidRPr="007A4984" w14:paraId="74C6A962" w14:textId="77777777" w:rsidTr="007A4984">
        <w:trPr>
          <w:trHeight w:val="242"/>
        </w:trPr>
        <w:tc>
          <w:tcPr>
            <w:tcW w:w="2868" w:type="dxa"/>
            <w:tcBorders>
              <w:top w:val="single" w:sz="4" w:space="0" w:color="auto"/>
              <w:left w:val="single" w:sz="4" w:space="0" w:color="auto"/>
              <w:bottom w:val="single" w:sz="4" w:space="0" w:color="auto"/>
              <w:right w:val="single" w:sz="4" w:space="0" w:color="auto"/>
            </w:tcBorders>
            <w:vAlign w:val="bottom"/>
          </w:tcPr>
          <w:p w14:paraId="72ABB1F9" w14:textId="77777777" w:rsidR="00927211" w:rsidRPr="007A4984" w:rsidRDefault="00927211" w:rsidP="00BE42D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TPT</w:t>
            </w:r>
          </w:p>
        </w:tc>
        <w:tc>
          <w:tcPr>
            <w:tcW w:w="1471" w:type="dxa"/>
            <w:tcBorders>
              <w:top w:val="single" w:sz="4" w:space="0" w:color="auto"/>
              <w:left w:val="single" w:sz="4" w:space="0" w:color="auto"/>
              <w:bottom w:val="single" w:sz="4" w:space="0" w:color="auto"/>
              <w:right w:val="single" w:sz="4" w:space="0" w:color="auto"/>
            </w:tcBorders>
            <w:vAlign w:val="bottom"/>
          </w:tcPr>
          <w:p w14:paraId="3FD78DED"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1.207176</w:t>
            </w:r>
          </w:p>
        </w:tc>
        <w:tc>
          <w:tcPr>
            <w:tcW w:w="1282" w:type="dxa"/>
            <w:tcBorders>
              <w:top w:val="single" w:sz="4" w:space="0" w:color="auto"/>
              <w:left w:val="single" w:sz="4" w:space="0" w:color="auto"/>
              <w:bottom w:val="single" w:sz="4" w:space="0" w:color="auto"/>
              <w:right w:val="single" w:sz="4" w:space="0" w:color="auto"/>
            </w:tcBorders>
            <w:vAlign w:val="bottom"/>
          </w:tcPr>
          <w:p w14:paraId="4B6C894D"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0.122180</w:t>
            </w:r>
          </w:p>
        </w:tc>
        <w:tc>
          <w:tcPr>
            <w:tcW w:w="1441" w:type="dxa"/>
            <w:tcBorders>
              <w:top w:val="single" w:sz="4" w:space="0" w:color="auto"/>
              <w:left w:val="single" w:sz="4" w:space="0" w:color="auto"/>
              <w:bottom w:val="single" w:sz="4" w:space="0" w:color="auto"/>
              <w:right w:val="single" w:sz="4" w:space="0" w:color="auto"/>
            </w:tcBorders>
            <w:vAlign w:val="bottom"/>
          </w:tcPr>
          <w:p w14:paraId="1DDC1E66"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9.880302</w:t>
            </w:r>
          </w:p>
        </w:tc>
        <w:tc>
          <w:tcPr>
            <w:tcW w:w="1188" w:type="dxa"/>
            <w:tcBorders>
              <w:top w:val="single" w:sz="4" w:space="0" w:color="auto"/>
              <w:left w:val="single" w:sz="4" w:space="0" w:color="auto"/>
              <w:bottom w:val="single" w:sz="4" w:space="0" w:color="auto"/>
              <w:right w:val="single" w:sz="4" w:space="0" w:color="auto"/>
            </w:tcBorders>
            <w:vAlign w:val="bottom"/>
          </w:tcPr>
          <w:p w14:paraId="2086F736"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0.0001</w:t>
            </w:r>
          </w:p>
        </w:tc>
      </w:tr>
      <w:tr w:rsidR="00927211" w:rsidRPr="007A4984" w14:paraId="2472E095" w14:textId="77777777" w:rsidTr="007A4984">
        <w:trPr>
          <w:trHeight w:val="242"/>
        </w:trPr>
        <w:tc>
          <w:tcPr>
            <w:tcW w:w="2868" w:type="dxa"/>
            <w:tcBorders>
              <w:top w:val="single" w:sz="4" w:space="0" w:color="auto"/>
              <w:left w:val="single" w:sz="4" w:space="0" w:color="auto"/>
              <w:bottom w:val="single" w:sz="4" w:space="0" w:color="auto"/>
              <w:right w:val="single" w:sz="4" w:space="0" w:color="auto"/>
            </w:tcBorders>
            <w:vAlign w:val="bottom"/>
          </w:tcPr>
          <w:p w14:paraId="045CFB7B" w14:textId="77777777" w:rsidR="00927211" w:rsidRPr="007A4984" w:rsidRDefault="00927211" w:rsidP="00BE42D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TPAK</w:t>
            </w:r>
          </w:p>
        </w:tc>
        <w:tc>
          <w:tcPr>
            <w:tcW w:w="1471" w:type="dxa"/>
            <w:tcBorders>
              <w:top w:val="single" w:sz="4" w:space="0" w:color="auto"/>
              <w:left w:val="single" w:sz="4" w:space="0" w:color="auto"/>
              <w:bottom w:val="single" w:sz="4" w:space="0" w:color="auto"/>
              <w:right w:val="single" w:sz="4" w:space="0" w:color="auto"/>
            </w:tcBorders>
            <w:vAlign w:val="bottom"/>
          </w:tcPr>
          <w:p w14:paraId="7E28604B"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-0.175279</w:t>
            </w:r>
          </w:p>
        </w:tc>
        <w:tc>
          <w:tcPr>
            <w:tcW w:w="1282" w:type="dxa"/>
            <w:tcBorders>
              <w:top w:val="single" w:sz="4" w:space="0" w:color="auto"/>
              <w:left w:val="single" w:sz="4" w:space="0" w:color="auto"/>
              <w:bottom w:val="single" w:sz="4" w:space="0" w:color="auto"/>
              <w:right w:val="single" w:sz="4" w:space="0" w:color="auto"/>
            </w:tcBorders>
            <w:vAlign w:val="bottom"/>
          </w:tcPr>
          <w:p w14:paraId="6E030971"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0.038702</w:t>
            </w:r>
          </w:p>
        </w:tc>
        <w:tc>
          <w:tcPr>
            <w:tcW w:w="1441" w:type="dxa"/>
            <w:tcBorders>
              <w:top w:val="single" w:sz="4" w:space="0" w:color="auto"/>
              <w:left w:val="single" w:sz="4" w:space="0" w:color="auto"/>
              <w:bottom w:val="single" w:sz="4" w:space="0" w:color="auto"/>
              <w:right w:val="single" w:sz="4" w:space="0" w:color="auto"/>
            </w:tcBorders>
            <w:vAlign w:val="bottom"/>
          </w:tcPr>
          <w:p w14:paraId="058E18FC"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-4.528982</w:t>
            </w:r>
          </w:p>
        </w:tc>
        <w:tc>
          <w:tcPr>
            <w:tcW w:w="1188" w:type="dxa"/>
            <w:tcBorders>
              <w:top w:val="single" w:sz="4" w:space="0" w:color="auto"/>
              <w:left w:val="single" w:sz="4" w:space="0" w:color="auto"/>
              <w:bottom w:val="single" w:sz="4" w:space="0" w:color="auto"/>
              <w:right w:val="single" w:sz="4" w:space="0" w:color="auto"/>
            </w:tcBorders>
            <w:vAlign w:val="bottom"/>
          </w:tcPr>
          <w:p w14:paraId="3761226F" w14:textId="77777777" w:rsidR="00927211" w:rsidRPr="007A4984" w:rsidRDefault="00927211" w:rsidP="00BE42D6">
            <w:pPr>
              <w:autoSpaceDE w:val="0"/>
              <w:autoSpaceDN w:val="0"/>
              <w:adjustRightInd w:val="0"/>
              <w:spacing w:after="0" w:line="240" w:lineRule="auto"/>
              <w:ind w:right="20"/>
              <w:rPr>
                <w:rFonts w:ascii="Palatino Linotype" w:hAnsi="Palatino Linotype" w:cs="Arial"/>
                <w:color w:val="000000"/>
                <w:lang w:val="id-ID"/>
              </w:rPr>
            </w:pPr>
            <w:r w:rsidRPr="007A4984">
              <w:rPr>
                <w:rFonts w:ascii="Palatino Linotype" w:hAnsi="Palatino Linotype" w:cs="Arial"/>
                <w:color w:val="000000"/>
                <w:lang w:val="id-ID"/>
              </w:rPr>
              <w:t>0.0000</w:t>
            </w:r>
          </w:p>
        </w:tc>
      </w:tr>
    </w:tbl>
    <w:p w14:paraId="631B3EF7" w14:textId="7B839AA8" w:rsidR="00927211" w:rsidRPr="007A4984" w:rsidRDefault="007A4984" w:rsidP="007B708A">
      <w:pPr>
        <w:tabs>
          <w:tab w:val="left" w:pos="851"/>
        </w:tabs>
        <w:spacing w:after="0" w:line="360" w:lineRule="auto"/>
        <w:jc w:val="both"/>
        <w:rPr>
          <w:rFonts w:ascii="Palatino Linotype" w:hAnsi="Palatino Linotype" w:cs="Times New Roman"/>
          <w:i/>
          <w:iCs/>
          <w:color w:val="000000"/>
          <w:lang w:val="id-ID"/>
        </w:rPr>
      </w:pPr>
      <w:r w:rsidRPr="007A4984">
        <w:rPr>
          <w:rFonts w:ascii="Palatino Linotype" w:hAnsi="Palatino Linotype" w:cs="Times New Roman"/>
          <w:i/>
          <w:iCs/>
          <w:color w:val="000000"/>
          <w:lang w:val="id-ID"/>
        </w:rPr>
        <w:t xml:space="preserve">         </w:t>
      </w:r>
      <w:r w:rsidR="00927211" w:rsidRPr="007A4984">
        <w:rPr>
          <w:rFonts w:ascii="Palatino Linotype" w:hAnsi="Palatino Linotype" w:cs="Times New Roman"/>
          <w:i/>
          <w:iCs/>
          <w:color w:val="000000"/>
          <w:lang w:val="id-ID"/>
        </w:rPr>
        <w:t>Sumber: Data Diolah Eviews 12(2025)</w:t>
      </w:r>
    </w:p>
    <w:p w14:paraId="274B8238" w14:textId="69904660" w:rsidR="00927211" w:rsidRPr="007A4984" w:rsidRDefault="0046504C" w:rsidP="00927211">
      <w:pPr>
        <w:spacing w:after="0" w:line="360" w:lineRule="auto"/>
        <w:ind w:firstLine="567"/>
        <w:jc w:val="both"/>
        <w:rPr>
          <w:rFonts w:ascii="Palatino Linotype" w:hAnsi="Palatino Linotype" w:cs="Times New Roman"/>
          <w:color w:val="000000"/>
          <w:lang w:val="id-ID"/>
        </w:rPr>
      </w:pPr>
      <w:r w:rsidRPr="007A4984">
        <w:rPr>
          <w:rFonts w:ascii="Palatino Linotype" w:hAnsi="Palatino Linotype" w:cs="Times New Roman"/>
          <w:color w:val="000000"/>
          <w:lang w:val="id-ID"/>
        </w:rPr>
        <w:t>H</w:t>
      </w:r>
      <w:r w:rsidRPr="007A4984">
        <w:rPr>
          <w:rFonts w:ascii="Palatino Linotype" w:hAnsi="Palatino Linotype" w:cs="Times New Roman"/>
          <w:lang w:val="id-ID"/>
        </w:rPr>
        <w:t>asil</w:t>
      </w:r>
      <w:r w:rsidR="00927211" w:rsidRPr="007A4984">
        <w:rPr>
          <w:rFonts w:ascii="Palatino Linotype" w:hAnsi="Palatino Linotype" w:cs="Times New Roman"/>
          <w:lang w:val="id-ID"/>
        </w:rPr>
        <w:t xml:space="preserve"> pengujian metode </w:t>
      </w:r>
      <w:r w:rsidR="00927211" w:rsidRPr="007A4984">
        <w:rPr>
          <w:rFonts w:ascii="Palatino Linotype" w:hAnsi="Palatino Linotype" w:cs="Times New Roman"/>
          <w:i/>
          <w:iCs/>
          <w:lang w:val="id-ID"/>
        </w:rPr>
        <w:t>common effect</w:t>
      </w:r>
      <w:r w:rsidR="007A4984" w:rsidRPr="007A4984">
        <w:rPr>
          <w:rFonts w:ascii="Palatino Linotype" w:hAnsi="Palatino Linotype" w:cs="Times New Roman"/>
          <w:i/>
          <w:iCs/>
          <w:lang w:val="id-ID"/>
        </w:rPr>
        <w:t xml:space="preserve"> model</w:t>
      </w:r>
      <w:r w:rsidR="00927211" w:rsidRPr="007A4984">
        <w:rPr>
          <w:rFonts w:ascii="Palatino Linotype" w:hAnsi="Palatino Linotype" w:cs="Times New Roman"/>
          <w:lang w:val="id-ID"/>
        </w:rPr>
        <w:t xml:space="preserve"> Tingkat Pengangguran Terbuka probabilitasnya bernilai sebesar </w:t>
      </w:r>
      <w:r w:rsidR="00927211" w:rsidRPr="007A4984">
        <w:rPr>
          <w:rFonts w:ascii="Palatino Linotype" w:hAnsi="Palatino Linotype" w:cs="Times New Roman"/>
          <w:color w:val="000000"/>
          <w:lang w:val="id-ID"/>
        </w:rPr>
        <w:t xml:space="preserve">0.0001  lebih kecil dari α 0.05 dimana artinya TPT berpengaruh positif dan signifikan terhadap kemiskinan. Pada tingkat partisipasi angkatan kerja probabilitasnya bernilai sebesar 0.0000 lebih kecil dari α 0.05 dimana  artinya TPAK berpengaruh negatif dan signifiakan terhadap Kemiskinan.dan hasil dari R-squarednya 0.686746. </w:t>
      </w:r>
    </w:p>
    <w:p w14:paraId="0C111722" w14:textId="77777777" w:rsidR="00F210F1" w:rsidRPr="007A4984" w:rsidRDefault="00F210F1" w:rsidP="00927211">
      <w:pPr>
        <w:spacing w:after="0" w:line="360" w:lineRule="auto"/>
        <w:ind w:firstLine="567"/>
        <w:jc w:val="both"/>
        <w:rPr>
          <w:rFonts w:ascii="Palatino Linotype" w:hAnsi="Palatino Linotype" w:cs="Times New Roman"/>
          <w:color w:val="000000"/>
          <w:lang w:val="id-ID"/>
        </w:rPr>
      </w:pPr>
    </w:p>
    <w:p w14:paraId="2EB26062" w14:textId="77777777" w:rsidR="00927211" w:rsidRPr="007A4984" w:rsidRDefault="00927211" w:rsidP="0046504C">
      <w:pPr>
        <w:keepNext/>
        <w:keepLines/>
        <w:spacing w:after="0" w:line="360" w:lineRule="auto"/>
        <w:jc w:val="both"/>
        <w:outlineLvl w:val="2"/>
        <w:rPr>
          <w:rFonts w:ascii="Palatino Linotype" w:eastAsiaTheme="majorEastAsia" w:hAnsi="Palatino Linotype" w:cstheme="majorBidi"/>
          <w:b/>
          <w:lang w:val="id-ID"/>
        </w:rPr>
      </w:pPr>
      <w:bookmarkStart w:id="15" w:name="_Toc204721451"/>
      <w:r w:rsidRPr="007A4984">
        <w:rPr>
          <w:rFonts w:ascii="Palatino Linotype" w:eastAsiaTheme="majorEastAsia" w:hAnsi="Palatino Linotype" w:cstheme="majorBidi"/>
          <w:b/>
          <w:lang w:val="id-ID"/>
        </w:rPr>
        <w:lastRenderedPageBreak/>
        <w:t>Koefisien Determinasi</w:t>
      </w:r>
      <w:bookmarkEnd w:id="15"/>
    </w:p>
    <w:p w14:paraId="05E33FE8" w14:textId="481C7323" w:rsidR="00927211" w:rsidRPr="007A4984" w:rsidRDefault="00927211" w:rsidP="0046504C">
      <w:pPr>
        <w:spacing w:after="0" w:line="360" w:lineRule="auto"/>
        <w:jc w:val="center"/>
        <w:rPr>
          <w:rFonts w:ascii="Palatino Linotype" w:hAnsi="Palatino Linotype" w:cs="Times New Roman"/>
          <w:b/>
          <w:bCs/>
          <w:lang w:val="id-ID"/>
        </w:rPr>
      </w:pPr>
      <w:r w:rsidRPr="007A4984">
        <w:rPr>
          <w:rFonts w:ascii="Palatino Linotype" w:hAnsi="Palatino Linotype" w:cs="Times New Roman"/>
          <w:b/>
          <w:bCs/>
          <w:lang w:val="id-ID"/>
        </w:rPr>
        <w:t>Tabel</w:t>
      </w:r>
      <w:r w:rsidR="0046504C" w:rsidRPr="007A4984">
        <w:rPr>
          <w:rFonts w:ascii="Palatino Linotype" w:hAnsi="Palatino Linotype" w:cs="Times New Roman"/>
          <w:b/>
          <w:bCs/>
          <w:lang w:val="id-ID"/>
        </w:rPr>
        <w:t xml:space="preserve"> </w:t>
      </w:r>
      <w:r w:rsidRPr="007A4984">
        <w:rPr>
          <w:rFonts w:ascii="Palatino Linotype" w:hAnsi="Palatino Linotype" w:cs="Times New Roman"/>
          <w:b/>
          <w:bCs/>
          <w:lang w:val="id-ID"/>
        </w:rPr>
        <w:t xml:space="preserve">Hasil Pengujian </w:t>
      </w:r>
      <w:r w:rsidRPr="007A4984">
        <w:rPr>
          <w:rFonts w:ascii="Palatino Linotype" w:hAnsi="Palatino Linotype" w:cs="Times New Roman"/>
          <w:b/>
          <w:bCs/>
          <w:color w:val="000000"/>
          <w:lang w:val="id-ID"/>
        </w:rPr>
        <w:t>Koefisian Determinasi</w:t>
      </w:r>
    </w:p>
    <w:tbl>
      <w:tblPr>
        <w:tblW w:w="0" w:type="auto"/>
        <w:tblInd w:w="704" w:type="dxa"/>
        <w:tblLayout w:type="fixed"/>
        <w:tblCellMar>
          <w:left w:w="0" w:type="dxa"/>
          <w:right w:w="0" w:type="dxa"/>
        </w:tblCellMar>
        <w:tblLook w:val="0000" w:firstRow="0" w:lastRow="0" w:firstColumn="0" w:lastColumn="0" w:noHBand="0" w:noVBand="0"/>
      </w:tblPr>
      <w:tblGrid>
        <w:gridCol w:w="4394"/>
        <w:gridCol w:w="3686"/>
      </w:tblGrid>
      <w:tr w:rsidR="007F2902" w:rsidRPr="007A4984" w14:paraId="23633AF9"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110EB845" w14:textId="77777777"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R-squared</w:t>
            </w:r>
          </w:p>
        </w:tc>
        <w:tc>
          <w:tcPr>
            <w:tcW w:w="3686" w:type="dxa"/>
            <w:tcBorders>
              <w:top w:val="single" w:sz="4" w:space="0" w:color="auto"/>
              <w:left w:val="single" w:sz="4" w:space="0" w:color="auto"/>
              <w:bottom w:val="single" w:sz="4" w:space="0" w:color="auto"/>
              <w:right w:val="single" w:sz="4" w:space="0" w:color="auto"/>
            </w:tcBorders>
            <w:vAlign w:val="center"/>
          </w:tcPr>
          <w:p w14:paraId="7CBFF259"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0.686746</w:t>
            </w:r>
          </w:p>
        </w:tc>
      </w:tr>
      <w:tr w:rsidR="007F2902" w:rsidRPr="007A4984" w14:paraId="70D6AD56"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30DA1BEE" w14:textId="402C4204"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AdjustedR-squared</w:t>
            </w:r>
          </w:p>
        </w:tc>
        <w:tc>
          <w:tcPr>
            <w:tcW w:w="3686" w:type="dxa"/>
            <w:tcBorders>
              <w:top w:val="single" w:sz="4" w:space="0" w:color="auto"/>
              <w:left w:val="single" w:sz="4" w:space="0" w:color="auto"/>
              <w:bottom w:val="single" w:sz="4" w:space="0" w:color="auto"/>
              <w:right w:val="single" w:sz="4" w:space="0" w:color="auto"/>
            </w:tcBorders>
            <w:vAlign w:val="center"/>
          </w:tcPr>
          <w:p w14:paraId="3A6E3927"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0.682781</w:t>
            </w:r>
          </w:p>
        </w:tc>
      </w:tr>
      <w:tr w:rsidR="007F2902" w:rsidRPr="007A4984" w14:paraId="4E0C49BE"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76C4AFDB" w14:textId="77777777"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S.E. of regression</w:t>
            </w:r>
          </w:p>
        </w:tc>
        <w:tc>
          <w:tcPr>
            <w:tcW w:w="3686" w:type="dxa"/>
            <w:tcBorders>
              <w:top w:val="single" w:sz="4" w:space="0" w:color="auto"/>
              <w:left w:val="single" w:sz="4" w:space="0" w:color="auto"/>
              <w:bottom w:val="single" w:sz="4" w:space="0" w:color="auto"/>
              <w:right w:val="single" w:sz="4" w:space="0" w:color="auto"/>
            </w:tcBorders>
            <w:vAlign w:val="center"/>
          </w:tcPr>
          <w:p w14:paraId="729B48E3"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2.283915</w:t>
            </w:r>
          </w:p>
        </w:tc>
      </w:tr>
      <w:tr w:rsidR="007F2902" w:rsidRPr="007A4984" w14:paraId="22BB2B59"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4875CBB9" w14:textId="77777777"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Sum squared resid</w:t>
            </w:r>
          </w:p>
        </w:tc>
        <w:tc>
          <w:tcPr>
            <w:tcW w:w="3686" w:type="dxa"/>
            <w:tcBorders>
              <w:top w:val="single" w:sz="4" w:space="0" w:color="auto"/>
              <w:left w:val="single" w:sz="4" w:space="0" w:color="auto"/>
              <w:bottom w:val="single" w:sz="4" w:space="0" w:color="auto"/>
              <w:right w:val="single" w:sz="4" w:space="0" w:color="auto"/>
            </w:tcBorders>
            <w:vAlign w:val="center"/>
          </w:tcPr>
          <w:p w14:paraId="6A155FE8"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824.1700</w:t>
            </w:r>
          </w:p>
        </w:tc>
      </w:tr>
      <w:tr w:rsidR="007F2902" w:rsidRPr="007A4984" w14:paraId="2E378909"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017AC1C4" w14:textId="77777777"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Log likelihood</w:t>
            </w:r>
          </w:p>
        </w:tc>
        <w:tc>
          <w:tcPr>
            <w:tcW w:w="3686" w:type="dxa"/>
            <w:tcBorders>
              <w:top w:val="single" w:sz="4" w:space="0" w:color="auto"/>
              <w:left w:val="single" w:sz="4" w:space="0" w:color="auto"/>
              <w:bottom w:val="single" w:sz="4" w:space="0" w:color="auto"/>
              <w:right w:val="single" w:sz="4" w:space="0" w:color="auto"/>
            </w:tcBorders>
            <w:vAlign w:val="center"/>
          </w:tcPr>
          <w:p w14:paraId="5D682ACF"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-359.9034</w:t>
            </w:r>
          </w:p>
        </w:tc>
      </w:tr>
      <w:tr w:rsidR="007F2902" w:rsidRPr="007A4984" w14:paraId="71E674AE"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2390E669" w14:textId="77777777"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F-statistic</w:t>
            </w:r>
          </w:p>
        </w:tc>
        <w:tc>
          <w:tcPr>
            <w:tcW w:w="3686" w:type="dxa"/>
            <w:tcBorders>
              <w:top w:val="single" w:sz="4" w:space="0" w:color="auto"/>
              <w:left w:val="single" w:sz="4" w:space="0" w:color="auto"/>
              <w:bottom w:val="single" w:sz="4" w:space="0" w:color="auto"/>
              <w:right w:val="single" w:sz="4" w:space="0" w:color="auto"/>
            </w:tcBorders>
            <w:vAlign w:val="center"/>
          </w:tcPr>
          <w:p w14:paraId="08E4026B"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173.1916</w:t>
            </w:r>
          </w:p>
        </w:tc>
      </w:tr>
      <w:tr w:rsidR="007F2902" w:rsidRPr="007A4984" w14:paraId="65B0891B" w14:textId="77777777" w:rsidTr="007F2902">
        <w:trPr>
          <w:trHeight w:val="211"/>
        </w:trPr>
        <w:tc>
          <w:tcPr>
            <w:tcW w:w="4394" w:type="dxa"/>
            <w:tcBorders>
              <w:top w:val="single" w:sz="4" w:space="0" w:color="auto"/>
              <w:left w:val="single" w:sz="4" w:space="0" w:color="auto"/>
              <w:bottom w:val="single" w:sz="4" w:space="0" w:color="auto"/>
              <w:right w:val="single" w:sz="4" w:space="0" w:color="auto"/>
            </w:tcBorders>
            <w:vAlign w:val="center"/>
          </w:tcPr>
          <w:p w14:paraId="31172E20" w14:textId="77777777" w:rsidR="007F2902" w:rsidRPr="007A4984" w:rsidRDefault="007F2902" w:rsidP="007F2902">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Prob(F-statistic)</w:t>
            </w:r>
          </w:p>
        </w:tc>
        <w:tc>
          <w:tcPr>
            <w:tcW w:w="3686" w:type="dxa"/>
            <w:tcBorders>
              <w:top w:val="single" w:sz="4" w:space="0" w:color="auto"/>
              <w:left w:val="single" w:sz="4" w:space="0" w:color="auto"/>
              <w:bottom w:val="single" w:sz="4" w:space="0" w:color="auto"/>
              <w:right w:val="single" w:sz="4" w:space="0" w:color="auto"/>
            </w:tcBorders>
            <w:vAlign w:val="center"/>
          </w:tcPr>
          <w:p w14:paraId="61513F4A" w14:textId="77777777" w:rsidR="007F2902" w:rsidRPr="007A4984" w:rsidRDefault="007F2902" w:rsidP="007F2902">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0.000000</w:t>
            </w:r>
          </w:p>
        </w:tc>
      </w:tr>
      <w:tr w:rsidR="007F2902" w:rsidRPr="007A4984" w14:paraId="7FC3FFCA" w14:textId="77777777" w:rsidTr="007F2902">
        <w:trPr>
          <w:trHeight w:hRule="exact" w:val="126"/>
        </w:trPr>
        <w:tc>
          <w:tcPr>
            <w:tcW w:w="4394" w:type="dxa"/>
            <w:tcBorders>
              <w:top w:val="single" w:sz="4" w:space="0" w:color="auto"/>
              <w:left w:val="nil"/>
              <w:bottom w:val="nil"/>
              <w:right w:val="nil"/>
            </w:tcBorders>
            <w:vAlign w:val="bottom"/>
          </w:tcPr>
          <w:p w14:paraId="1CB4C16A" w14:textId="77777777" w:rsidR="007F2902" w:rsidRPr="007A4984" w:rsidRDefault="007F2902" w:rsidP="007F2902">
            <w:pPr>
              <w:autoSpaceDE w:val="0"/>
              <w:autoSpaceDN w:val="0"/>
              <w:adjustRightInd w:val="0"/>
              <w:spacing w:after="0" w:line="240" w:lineRule="auto"/>
              <w:jc w:val="both"/>
              <w:rPr>
                <w:rFonts w:ascii="Palatino Linotype" w:hAnsi="Palatino Linotype" w:cs="Arial"/>
                <w:color w:val="000000"/>
                <w:lang w:val="id-ID"/>
              </w:rPr>
            </w:pPr>
          </w:p>
        </w:tc>
        <w:tc>
          <w:tcPr>
            <w:tcW w:w="3686" w:type="dxa"/>
            <w:tcBorders>
              <w:top w:val="single" w:sz="4" w:space="0" w:color="auto"/>
              <w:left w:val="nil"/>
              <w:bottom w:val="nil"/>
              <w:right w:val="nil"/>
            </w:tcBorders>
            <w:vAlign w:val="bottom"/>
          </w:tcPr>
          <w:p w14:paraId="5D6CBFA5" w14:textId="77777777" w:rsidR="007F2902" w:rsidRPr="007A4984" w:rsidRDefault="007F2902" w:rsidP="007F2902">
            <w:pPr>
              <w:autoSpaceDE w:val="0"/>
              <w:autoSpaceDN w:val="0"/>
              <w:adjustRightInd w:val="0"/>
              <w:spacing w:after="0" w:line="240" w:lineRule="auto"/>
              <w:jc w:val="both"/>
              <w:rPr>
                <w:rFonts w:ascii="Palatino Linotype" w:hAnsi="Palatino Linotype" w:cs="Arial"/>
                <w:color w:val="000000"/>
                <w:lang w:val="id-ID"/>
              </w:rPr>
            </w:pPr>
          </w:p>
        </w:tc>
      </w:tr>
    </w:tbl>
    <w:p w14:paraId="1D38E37E" w14:textId="201E8882" w:rsidR="00927211" w:rsidRPr="007A4984" w:rsidRDefault="00963D90" w:rsidP="00927211">
      <w:pPr>
        <w:tabs>
          <w:tab w:val="left" w:pos="142"/>
        </w:tabs>
        <w:spacing w:after="0" w:line="360" w:lineRule="auto"/>
        <w:jc w:val="both"/>
        <w:rPr>
          <w:rFonts w:ascii="Palatino Linotype" w:hAnsi="Palatino Linotype" w:cs="Times New Roman"/>
          <w:i/>
          <w:iCs/>
          <w:color w:val="000000"/>
          <w:lang w:val="id-ID"/>
        </w:rPr>
      </w:pPr>
      <w:r w:rsidRPr="007A4984">
        <w:rPr>
          <w:rFonts w:ascii="Palatino Linotype" w:hAnsi="Palatino Linotype" w:cs="Times New Roman"/>
          <w:i/>
          <w:iCs/>
          <w:color w:val="000000"/>
          <w:lang w:val="id-ID"/>
        </w:rPr>
        <w:tab/>
      </w:r>
      <w:r w:rsidRPr="007A4984">
        <w:rPr>
          <w:rFonts w:ascii="Palatino Linotype" w:hAnsi="Palatino Linotype" w:cs="Times New Roman"/>
          <w:i/>
          <w:iCs/>
          <w:color w:val="000000"/>
          <w:lang w:val="id-ID"/>
        </w:rPr>
        <w:tab/>
      </w:r>
      <w:r w:rsidR="00927211" w:rsidRPr="007A4984">
        <w:rPr>
          <w:rFonts w:ascii="Palatino Linotype" w:hAnsi="Palatino Linotype" w:cs="Times New Roman"/>
          <w:i/>
          <w:iCs/>
          <w:color w:val="000000"/>
          <w:lang w:val="id-ID"/>
        </w:rPr>
        <w:t>Sumber: Data Diolah Eviews 12(2025)</w:t>
      </w:r>
    </w:p>
    <w:p w14:paraId="2A7C1D09" w14:textId="77777777" w:rsidR="00927211" w:rsidRPr="007A4984" w:rsidRDefault="00927211" w:rsidP="00927211">
      <w:pPr>
        <w:spacing w:after="0" w:line="360" w:lineRule="auto"/>
        <w:ind w:firstLine="720"/>
        <w:jc w:val="both"/>
        <w:rPr>
          <w:rFonts w:ascii="Palatino Linotype" w:hAnsi="Palatino Linotype" w:cs="Times New Roman"/>
          <w:color w:val="000000"/>
          <w:lang w:val="id-ID"/>
        </w:rPr>
      </w:pPr>
      <w:r w:rsidRPr="007A4984">
        <w:rPr>
          <w:rFonts w:ascii="Palatino Linotype" w:hAnsi="Palatino Linotype" w:cs="Times New Roman"/>
          <w:color w:val="000000"/>
          <w:lang w:val="id-ID"/>
        </w:rPr>
        <w:t>Nilai R² sebesar 0,</w:t>
      </w:r>
      <w:r w:rsidRPr="007A4984">
        <w:rPr>
          <w:rFonts w:ascii="Palatino Linotype" w:hAnsi="Palatino Linotype" w:cs="Arial"/>
          <w:color w:val="000000"/>
          <w:lang w:val="id-ID"/>
        </w:rPr>
        <w:t xml:space="preserve"> </w:t>
      </w:r>
      <w:r w:rsidRPr="007A4984">
        <w:rPr>
          <w:rFonts w:ascii="Palatino Linotype" w:hAnsi="Palatino Linotype" w:cs="Times New Roman"/>
          <w:color w:val="000000"/>
          <w:lang w:val="id-ID"/>
        </w:rPr>
        <w:t>686746 menunjukkan bahwa 68,87% variasi tingkat kemiskinan dapat dijelaskan oleh variasi TPT dan TPAK. Sisanya sebesar 31,13% dijelaskan oleh faktor lain yang tidak dimasukkan ke dalam model, seperti inflasi, pertumbuhan ekonomi, tingkat pendidikan, dan kebijakan sosial.</w:t>
      </w:r>
    </w:p>
    <w:p w14:paraId="7672A7F3" w14:textId="77777777" w:rsidR="00927211" w:rsidRPr="007A4984" w:rsidRDefault="00927211" w:rsidP="00145AD2">
      <w:pPr>
        <w:keepNext/>
        <w:keepLines/>
        <w:spacing w:after="0" w:line="360" w:lineRule="auto"/>
        <w:jc w:val="both"/>
        <w:outlineLvl w:val="2"/>
        <w:rPr>
          <w:rFonts w:ascii="Palatino Linotype" w:eastAsiaTheme="majorEastAsia" w:hAnsi="Palatino Linotype" w:cstheme="majorBidi"/>
          <w:b/>
          <w:lang w:val="id-ID"/>
        </w:rPr>
      </w:pPr>
      <w:bookmarkStart w:id="16" w:name="_Toc204721452"/>
      <w:r w:rsidRPr="007A4984">
        <w:rPr>
          <w:rFonts w:ascii="Palatino Linotype" w:eastAsiaTheme="majorEastAsia" w:hAnsi="Palatino Linotype" w:cstheme="majorBidi"/>
          <w:b/>
          <w:lang w:val="id-ID"/>
        </w:rPr>
        <w:t>Uji Statistik F</w:t>
      </w:r>
      <w:bookmarkEnd w:id="16"/>
    </w:p>
    <w:p w14:paraId="27A212A2" w14:textId="77777777" w:rsidR="00927211" w:rsidRPr="007A4984" w:rsidRDefault="00927211" w:rsidP="00927211">
      <w:pPr>
        <w:spacing w:after="0" w:line="360" w:lineRule="auto"/>
        <w:ind w:left="360"/>
        <w:contextualSpacing/>
        <w:jc w:val="center"/>
        <w:rPr>
          <w:rFonts w:ascii="Palatino Linotype" w:hAnsi="Palatino Linotype" w:cs="Times New Roman"/>
          <w:b/>
          <w:bCs/>
          <w:lang w:val="id-ID"/>
        </w:rPr>
      </w:pPr>
      <w:r w:rsidRPr="007A4984">
        <w:rPr>
          <w:rFonts w:ascii="Palatino Linotype" w:hAnsi="Palatino Linotype" w:cs="Times New Roman"/>
          <w:b/>
          <w:bCs/>
          <w:lang w:val="id-ID"/>
        </w:rPr>
        <w:t>Tabel Hasil Pengujian Statistik 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6"/>
        <w:gridCol w:w="3889"/>
      </w:tblGrid>
      <w:tr w:rsidR="00D33273" w:rsidRPr="007A4984" w14:paraId="24606DE5" w14:textId="77777777" w:rsidTr="007A4984">
        <w:trPr>
          <w:trHeight w:val="248"/>
          <w:jc w:val="center"/>
        </w:trPr>
        <w:tc>
          <w:tcPr>
            <w:tcW w:w="4216" w:type="dxa"/>
            <w:vAlign w:val="center"/>
          </w:tcPr>
          <w:p w14:paraId="1C9F4934" w14:textId="77777777" w:rsidR="00D33273" w:rsidRPr="007A4984" w:rsidRDefault="00D33273" w:rsidP="004A048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F-statistic</w:t>
            </w:r>
          </w:p>
        </w:tc>
        <w:tc>
          <w:tcPr>
            <w:tcW w:w="3889" w:type="dxa"/>
            <w:vAlign w:val="center"/>
          </w:tcPr>
          <w:p w14:paraId="25C80FBB" w14:textId="77777777" w:rsidR="00D33273" w:rsidRPr="007A4984" w:rsidRDefault="00D33273" w:rsidP="007A4984">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173.1916</w:t>
            </w:r>
          </w:p>
        </w:tc>
      </w:tr>
      <w:tr w:rsidR="00D33273" w:rsidRPr="007A4984" w14:paraId="18FC9405" w14:textId="77777777" w:rsidTr="007A4984">
        <w:trPr>
          <w:trHeight w:val="248"/>
          <w:jc w:val="center"/>
        </w:trPr>
        <w:tc>
          <w:tcPr>
            <w:tcW w:w="4216" w:type="dxa"/>
            <w:vAlign w:val="center"/>
          </w:tcPr>
          <w:p w14:paraId="2264B054" w14:textId="77777777" w:rsidR="00D33273" w:rsidRPr="007A4984" w:rsidRDefault="00D33273" w:rsidP="004A0486">
            <w:pPr>
              <w:autoSpaceDE w:val="0"/>
              <w:autoSpaceDN w:val="0"/>
              <w:adjustRightInd w:val="0"/>
              <w:spacing w:after="0" w:line="240" w:lineRule="auto"/>
              <w:rPr>
                <w:rFonts w:ascii="Palatino Linotype" w:hAnsi="Palatino Linotype" w:cs="Arial"/>
                <w:color w:val="000000"/>
                <w:lang w:val="id-ID"/>
              </w:rPr>
            </w:pPr>
            <w:r w:rsidRPr="007A4984">
              <w:rPr>
                <w:rFonts w:ascii="Palatino Linotype" w:hAnsi="Palatino Linotype" w:cs="Arial"/>
                <w:color w:val="000000"/>
                <w:lang w:val="id-ID"/>
              </w:rPr>
              <w:t>Prob(F-statistic)</w:t>
            </w:r>
          </w:p>
        </w:tc>
        <w:tc>
          <w:tcPr>
            <w:tcW w:w="3889" w:type="dxa"/>
            <w:vAlign w:val="center"/>
          </w:tcPr>
          <w:p w14:paraId="0BCD3A98" w14:textId="77777777" w:rsidR="00D33273" w:rsidRPr="007A4984" w:rsidRDefault="00D33273" w:rsidP="007A4984">
            <w:pPr>
              <w:autoSpaceDE w:val="0"/>
              <w:autoSpaceDN w:val="0"/>
              <w:adjustRightInd w:val="0"/>
              <w:spacing w:after="0" w:line="240" w:lineRule="auto"/>
              <w:ind w:right="20"/>
              <w:jc w:val="right"/>
              <w:rPr>
                <w:rFonts w:ascii="Palatino Linotype" w:hAnsi="Palatino Linotype" w:cs="Arial"/>
                <w:color w:val="000000"/>
                <w:lang w:val="id-ID"/>
              </w:rPr>
            </w:pPr>
            <w:r w:rsidRPr="007A4984">
              <w:rPr>
                <w:rFonts w:ascii="Palatino Linotype" w:hAnsi="Palatino Linotype" w:cs="Arial"/>
                <w:color w:val="000000"/>
                <w:lang w:val="id-ID"/>
              </w:rPr>
              <w:t>0.000000</w:t>
            </w:r>
          </w:p>
        </w:tc>
      </w:tr>
    </w:tbl>
    <w:p w14:paraId="05242787" w14:textId="1B7A9D44" w:rsidR="00927211" w:rsidRPr="007A4984" w:rsidRDefault="00927211" w:rsidP="00927211">
      <w:pPr>
        <w:tabs>
          <w:tab w:val="left" w:pos="142"/>
        </w:tabs>
        <w:spacing w:after="0" w:line="360" w:lineRule="auto"/>
        <w:jc w:val="both"/>
        <w:rPr>
          <w:rFonts w:ascii="Palatino Linotype" w:hAnsi="Palatino Linotype" w:cs="Times New Roman"/>
          <w:i/>
          <w:iCs/>
          <w:color w:val="000000"/>
          <w:lang w:val="id-ID"/>
        </w:rPr>
      </w:pPr>
      <w:r w:rsidRPr="007A4984">
        <w:rPr>
          <w:rFonts w:ascii="Palatino Linotype" w:hAnsi="Palatino Linotype" w:cs="Times New Roman"/>
          <w:i/>
          <w:iCs/>
          <w:color w:val="000000"/>
          <w:lang w:val="id-ID"/>
        </w:rPr>
        <w:tab/>
      </w:r>
      <w:r w:rsidR="007A4984" w:rsidRPr="007A4984">
        <w:rPr>
          <w:rFonts w:ascii="Palatino Linotype" w:hAnsi="Palatino Linotype" w:cs="Times New Roman"/>
          <w:i/>
          <w:iCs/>
          <w:color w:val="000000"/>
          <w:lang w:val="id-ID"/>
        </w:rPr>
        <w:t xml:space="preserve">        </w:t>
      </w:r>
      <w:r w:rsidRPr="007A4984">
        <w:rPr>
          <w:rFonts w:ascii="Palatino Linotype" w:hAnsi="Palatino Linotype" w:cs="Times New Roman"/>
          <w:i/>
          <w:iCs/>
          <w:color w:val="000000"/>
          <w:lang w:val="id-ID"/>
        </w:rPr>
        <w:t>Sumber: Data Diolah Eviews 12(2025)</w:t>
      </w:r>
    </w:p>
    <w:p w14:paraId="570D1DB7" w14:textId="77777777" w:rsidR="00927211" w:rsidRPr="007A4984" w:rsidRDefault="00927211" w:rsidP="00927211">
      <w:pPr>
        <w:autoSpaceDE w:val="0"/>
        <w:autoSpaceDN w:val="0"/>
        <w:adjustRightInd w:val="0"/>
        <w:spacing w:after="0" w:line="360" w:lineRule="auto"/>
        <w:ind w:right="20" w:firstLine="720"/>
        <w:jc w:val="both"/>
        <w:rPr>
          <w:rFonts w:ascii="Palatino Linotype" w:hAnsi="Palatino Linotype" w:cs="Times New Roman"/>
          <w:color w:val="000000"/>
          <w:lang w:val="id-ID"/>
        </w:rPr>
      </w:pPr>
      <w:r w:rsidRPr="007A4984">
        <w:rPr>
          <w:rFonts w:ascii="Palatino Linotype" w:hAnsi="Palatino Linotype" w:cs="Times New Roman"/>
          <w:color w:val="000000"/>
          <w:lang w:val="id-ID"/>
        </w:rPr>
        <w:t xml:space="preserve">Uji F dilakukan untuk mengetahui apakah seluruh variabel bersama-sama mempengaruhi variabel dependen atau tidak. Berdasarkan pengujian yang sudah dilaksanakan, didapatkan nilai </w:t>
      </w:r>
      <w:r w:rsidRPr="007A4984">
        <w:rPr>
          <w:rFonts w:ascii="Palatino Linotype" w:hAnsi="Palatino Linotype" w:cs="Times New Roman"/>
          <w:i/>
          <w:iCs/>
          <w:color w:val="000000"/>
          <w:lang w:val="id-ID"/>
        </w:rPr>
        <w:t>F Statistc</w:t>
      </w:r>
      <w:r w:rsidRPr="007A4984">
        <w:rPr>
          <w:rFonts w:ascii="Palatino Linotype" w:hAnsi="Palatino Linotype" w:cs="Times New Roman"/>
          <w:color w:val="000000"/>
          <w:lang w:val="id-ID"/>
        </w:rPr>
        <w:t xml:space="preserve"> sebesar 173.1916 dengan probabiltas 0.000000 &lt; α 0.05, sehingga menolak Ho dan menerima Ha, sehingga dapat disimpulkan bahwa tingkat pengagguran terbuka dan tingkat partisipasi angkatan kerja secara bersama-sama berpengaruh signifikan terhadap kemiskinan Kab/Kota Di Provinsi Aceh.</w:t>
      </w:r>
    </w:p>
    <w:p w14:paraId="2D39CDBF" w14:textId="77777777" w:rsidR="00927211" w:rsidRPr="007A4984" w:rsidRDefault="00927211" w:rsidP="00927211">
      <w:pPr>
        <w:keepNext/>
        <w:keepLines/>
        <w:spacing w:after="0" w:line="360" w:lineRule="auto"/>
        <w:jc w:val="both"/>
        <w:outlineLvl w:val="2"/>
        <w:rPr>
          <w:rFonts w:ascii="Palatino Linotype" w:eastAsiaTheme="majorEastAsia" w:hAnsi="Palatino Linotype" w:cstheme="majorBidi"/>
          <w:b/>
          <w:lang w:val="id-ID"/>
        </w:rPr>
      </w:pPr>
      <w:bookmarkStart w:id="17" w:name="_Toc204721453"/>
      <w:r w:rsidRPr="007A4984">
        <w:rPr>
          <w:rFonts w:ascii="Palatino Linotype" w:eastAsiaTheme="majorEastAsia" w:hAnsi="Palatino Linotype" w:cstheme="majorBidi"/>
          <w:b/>
          <w:lang w:val="id-ID"/>
        </w:rPr>
        <w:t>Uji Statistik T</w:t>
      </w:r>
      <w:bookmarkEnd w:id="17"/>
      <w:r w:rsidRPr="007A4984">
        <w:rPr>
          <w:rFonts w:ascii="Palatino Linotype" w:eastAsiaTheme="majorEastAsia" w:hAnsi="Palatino Linotype" w:cstheme="majorBidi"/>
          <w:b/>
          <w:lang w:val="id-ID"/>
        </w:rPr>
        <w:t xml:space="preserve"> </w:t>
      </w:r>
    </w:p>
    <w:p w14:paraId="1D96F12E" w14:textId="77777777" w:rsidR="00927211" w:rsidRPr="007A4984" w:rsidRDefault="00927211" w:rsidP="00927211">
      <w:pPr>
        <w:spacing w:after="0" w:line="360" w:lineRule="auto"/>
        <w:jc w:val="center"/>
        <w:rPr>
          <w:rFonts w:ascii="Palatino Linotype" w:hAnsi="Palatino Linotype" w:cs="Times New Roman"/>
          <w:b/>
          <w:bCs/>
          <w:lang w:val="id-ID"/>
        </w:rPr>
      </w:pPr>
      <w:r w:rsidRPr="007A4984">
        <w:rPr>
          <w:rFonts w:ascii="Palatino Linotype" w:hAnsi="Palatino Linotype" w:cs="Times New Roman"/>
          <w:b/>
          <w:bCs/>
          <w:lang w:val="id-ID"/>
        </w:rPr>
        <w:t>Tabel Hasil Pengujian Statistik 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60"/>
        <w:gridCol w:w="1646"/>
        <w:gridCol w:w="1485"/>
        <w:gridCol w:w="1485"/>
        <w:gridCol w:w="1227"/>
      </w:tblGrid>
      <w:tr w:rsidR="00927211" w:rsidRPr="007A4984" w14:paraId="04EB222C" w14:textId="77777777" w:rsidTr="007A4984">
        <w:trPr>
          <w:trHeight w:val="230"/>
          <w:jc w:val="center"/>
        </w:trPr>
        <w:tc>
          <w:tcPr>
            <w:tcW w:w="2660" w:type="dxa"/>
            <w:vAlign w:val="bottom"/>
          </w:tcPr>
          <w:p w14:paraId="12FFA6B1" w14:textId="77777777" w:rsidR="00927211" w:rsidRPr="007A4984" w:rsidRDefault="00927211" w:rsidP="004A048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Variable</w:t>
            </w:r>
          </w:p>
        </w:tc>
        <w:tc>
          <w:tcPr>
            <w:tcW w:w="1646" w:type="dxa"/>
            <w:vAlign w:val="bottom"/>
          </w:tcPr>
          <w:p w14:paraId="74AA9DBA"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Coefficient</w:t>
            </w:r>
          </w:p>
        </w:tc>
        <w:tc>
          <w:tcPr>
            <w:tcW w:w="1485" w:type="dxa"/>
            <w:vAlign w:val="bottom"/>
          </w:tcPr>
          <w:p w14:paraId="5071E912"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Std. Error</w:t>
            </w:r>
          </w:p>
        </w:tc>
        <w:tc>
          <w:tcPr>
            <w:tcW w:w="1485" w:type="dxa"/>
            <w:vAlign w:val="bottom"/>
          </w:tcPr>
          <w:p w14:paraId="3D074529"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t-Statistic</w:t>
            </w:r>
          </w:p>
        </w:tc>
        <w:tc>
          <w:tcPr>
            <w:tcW w:w="1227" w:type="dxa"/>
            <w:vAlign w:val="bottom"/>
          </w:tcPr>
          <w:p w14:paraId="5AF505C4"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Prob.  </w:t>
            </w:r>
          </w:p>
        </w:tc>
      </w:tr>
      <w:tr w:rsidR="00927211" w:rsidRPr="007A4984" w14:paraId="0FF820B2" w14:textId="77777777" w:rsidTr="007A4984">
        <w:trPr>
          <w:trHeight w:val="230"/>
          <w:jc w:val="center"/>
        </w:trPr>
        <w:tc>
          <w:tcPr>
            <w:tcW w:w="2660" w:type="dxa"/>
            <w:vAlign w:val="bottom"/>
          </w:tcPr>
          <w:p w14:paraId="27B60599" w14:textId="77777777" w:rsidR="00927211" w:rsidRPr="007A4984" w:rsidRDefault="00927211" w:rsidP="004A048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C</w:t>
            </w:r>
          </w:p>
        </w:tc>
        <w:tc>
          <w:tcPr>
            <w:tcW w:w="1646" w:type="dxa"/>
            <w:vAlign w:val="bottom"/>
          </w:tcPr>
          <w:p w14:paraId="0D0173A2" w14:textId="7EB6E61F" w:rsidR="00927211" w:rsidRPr="007A4984" w:rsidRDefault="00D71EBB"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19.78168</w:t>
            </w:r>
          </w:p>
        </w:tc>
        <w:tc>
          <w:tcPr>
            <w:tcW w:w="1485" w:type="dxa"/>
            <w:vAlign w:val="bottom"/>
          </w:tcPr>
          <w:p w14:paraId="0BBDD869"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3.116414</w:t>
            </w:r>
          </w:p>
        </w:tc>
        <w:tc>
          <w:tcPr>
            <w:tcW w:w="1485" w:type="dxa"/>
            <w:vAlign w:val="bottom"/>
          </w:tcPr>
          <w:p w14:paraId="0D23DD5C"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7.185548</w:t>
            </w:r>
          </w:p>
        </w:tc>
        <w:tc>
          <w:tcPr>
            <w:tcW w:w="1227" w:type="dxa"/>
            <w:vAlign w:val="bottom"/>
          </w:tcPr>
          <w:p w14:paraId="33EFC227"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0.0000</w:t>
            </w:r>
          </w:p>
        </w:tc>
      </w:tr>
      <w:tr w:rsidR="00927211" w:rsidRPr="007A4984" w14:paraId="28E6E6E2" w14:textId="77777777" w:rsidTr="007A4984">
        <w:trPr>
          <w:trHeight w:val="230"/>
          <w:jc w:val="center"/>
        </w:trPr>
        <w:tc>
          <w:tcPr>
            <w:tcW w:w="2660" w:type="dxa"/>
            <w:vAlign w:val="bottom"/>
          </w:tcPr>
          <w:p w14:paraId="3D0B0DED" w14:textId="77777777" w:rsidR="00927211" w:rsidRPr="007A4984" w:rsidRDefault="00927211" w:rsidP="004A048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TPT</w:t>
            </w:r>
          </w:p>
        </w:tc>
        <w:tc>
          <w:tcPr>
            <w:tcW w:w="1646" w:type="dxa"/>
            <w:vAlign w:val="bottom"/>
          </w:tcPr>
          <w:p w14:paraId="6C221EF4"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1.226201</w:t>
            </w:r>
          </w:p>
        </w:tc>
        <w:tc>
          <w:tcPr>
            <w:tcW w:w="1485" w:type="dxa"/>
            <w:vAlign w:val="bottom"/>
          </w:tcPr>
          <w:p w14:paraId="740A5905"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0.125524</w:t>
            </w:r>
          </w:p>
        </w:tc>
        <w:tc>
          <w:tcPr>
            <w:tcW w:w="1485" w:type="dxa"/>
            <w:vAlign w:val="bottom"/>
          </w:tcPr>
          <w:p w14:paraId="4C0601B0"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9.768685</w:t>
            </w:r>
          </w:p>
        </w:tc>
        <w:tc>
          <w:tcPr>
            <w:tcW w:w="1227" w:type="dxa"/>
            <w:vAlign w:val="bottom"/>
          </w:tcPr>
          <w:p w14:paraId="1D7B93EF"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0.0001</w:t>
            </w:r>
          </w:p>
        </w:tc>
      </w:tr>
      <w:tr w:rsidR="00927211" w:rsidRPr="007A4984" w14:paraId="06C749A8" w14:textId="77777777" w:rsidTr="007A4984">
        <w:trPr>
          <w:trHeight w:val="230"/>
          <w:jc w:val="center"/>
        </w:trPr>
        <w:tc>
          <w:tcPr>
            <w:tcW w:w="2660" w:type="dxa"/>
            <w:vAlign w:val="bottom"/>
          </w:tcPr>
          <w:p w14:paraId="3D342246" w14:textId="77777777" w:rsidR="00927211" w:rsidRPr="007A4984" w:rsidRDefault="00927211" w:rsidP="004A0486">
            <w:pPr>
              <w:autoSpaceDE w:val="0"/>
              <w:autoSpaceDN w:val="0"/>
              <w:adjustRightInd w:val="0"/>
              <w:spacing w:after="0" w:line="240" w:lineRule="auto"/>
              <w:jc w:val="both"/>
              <w:rPr>
                <w:rFonts w:ascii="Palatino Linotype" w:hAnsi="Palatino Linotype" w:cs="Arial"/>
                <w:color w:val="000000"/>
                <w:lang w:val="id-ID"/>
              </w:rPr>
            </w:pPr>
            <w:r w:rsidRPr="007A4984">
              <w:rPr>
                <w:rFonts w:ascii="Palatino Linotype" w:hAnsi="Palatino Linotype" w:cs="Arial"/>
                <w:color w:val="000000"/>
                <w:lang w:val="id-ID"/>
              </w:rPr>
              <w:t>TPAK</w:t>
            </w:r>
          </w:p>
        </w:tc>
        <w:tc>
          <w:tcPr>
            <w:tcW w:w="1646" w:type="dxa"/>
            <w:vAlign w:val="bottom"/>
          </w:tcPr>
          <w:p w14:paraId="1413BDC9"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-0.222684</w:t>
            </w:r>
          </w:p>
        </w:tc>
        <w:tc>
          <w:tcPr>
            <w:tcW w:w="1485" w:type="dxa"/>
            <w:vAlign w:val="bottom"/>
          </w:tcPr>
          <w:p w14:paraId="54648024"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0.039761</w:t>
            </w:r>
          </w:p>
        </w:tc>
        <w:tc>
          <w:tcPr>
            <w:tcW w:w="1485" w:type="dxa"/>
            <w:vAlign w:val="bottom"/>
          </w:tcPr>
          <w:p w14:paraId="2E94C0CB"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-5.600587</w:t>
            </w:r>
          </w:p>
        </w:tc>
        <w:tc>
          <w:tcPr>
            <w:tcW w:w="1227" w:type="dxa"/>
            <w:vAlign w:val="bottom"/>
          </w:tcPr>
          <w:p w14:paraId="1BB4EBD0" w14:textId="77777777" w:rsidR="00927211" w:rsidRPr="007A4984" w:rsidRDefault="00927211" w:rsidP="004A0486">
            <w:pPr>
              <w:autoSpaceDE w:val="0"/>
              <w:autoSpaceDN w:val="0"/>
              <w:adjustRightInd w:val="0"/>
              <w:spacing w:after="0" w:line="240" w:lineRule="auto"/>
              <w:ind w:right="20"/>
              <w:jc w:val="both"/>
              <w:rPr>
                <w:rFonts w:ascii="Palatino Linotype" w:hAnsi="Palatino Linotype" w:cs="Arial"/>
                <w:color w:val="000000"/>
                <w:lang w:val="id-ID"/>
              </w:rPr>
            </w:pPr>
            <w:r w:rsidRPr="007A4984">
              <w:rPr>
                <w:rFonts w:ascii="Palatino Linotype" w:hAnsi="Palatino Linotype" w:cs="Arial"/>
                <w:color w:val="000000"/>
                <w:lang w:val="id-ID"/>
              </w:rPr>
              <w:t>0.0000</w:t>
            </w:r>
          </w:p>
        </w:tc>
      </w:tr>
    </w:tbl>
    <w:p w14:paraId="5E005694" w14:textId="476CBA14" w:rsidR="00927211" w:rsidRPr="007A4984" w:rsidRDefault="00927211" w:rsidP="00927211">
      <w:pPr>
        <w:tabs>
          <w:tab w:val="left" w:pos="142"/>
        </w:tabs>
        <w:spacing w:after="0" w:line="360" w:lineRule="auto"/>
        <w:jc w:val="both"/>
        <w:rPr>
          <w:rFonts w:ascii="Palatino Linotype" w:hAnsi="Palatino Linotype" w:cs="Times New Roman"/>
          <w:i/>
          <w:iCs/>
          <w:color w:val="000000"/>
          <w:lang w:val="id-ID"/>
        </w:rPr>
      </w:pPr>
      <w:r w:rsidRPr="007A4984">
        <w:rPr>
          <w:rFonts w:ascii="Palatino Linotype" w:hAnsi="Palatino Linotype" w:cs="Times New Roman"/>
          <w:i/>
          <w:iCs/>
          <w:color w:val="000000"/>
          <w:lang w:val="id-ID"/>
        </w:rPr>
        <w:tab/>
      </w:r>
      <w:r w:rsidR="007A4984" w:rsidRPr="007A4984">
        <w:rPr>
          <w:rFonts w:ascii="Palatino Linotype" w:hAnsi="Palatino Linotype" w:cs="Times New Roman"/>
          <w:i/>
          <w:iCs/>
          <w:color w:val="000000"/>
          <w:lang w:val="id-ID"/>
        </w:rPr>
        <w:t xml:space="preserve">    </w:t>
      </w:r>
      <w:r w:rsidRPr="007A4984">
        <w:rPr>
          <w:rFonts w:ascii="Palatino Linotype" w:hAnsi="Palatino Linotype" w:cs="Times New Roman"/>
          <w:i/>
          <w:iCs/>
          <w:color w:val="000000"/>
          <w:lang w:val="id-ID"/>
        </w:rPr>
        <w:t>Sumber: Data Diolah Eviews 12(2025)</w:t>
      </w:r>
    </w:p>
    <w:p w14:paraId="08A087C9" w14:textId="77777777" w:rsidR="00F210F1" w:rsidRPr="007A4984" w:rsidRDefault="00F210F1" w:rsidP="00927211">
      <w:pPr>
        <w:tabs>
          <w:tab w:val="left" w:pos="142"/>
        </w:tabs>
        <w:spacing w:after="0" w:line="360" w:lineRule="auto"/>
        <w:jc w:val="both"/>
        <w:rPr>
          <w:rFonts w:ascii="Palatino Linotype" w:hAnsi="Palatino Linotype" w:cs="Times New Roman"/>
          <w:color w:val="000000"/>
          <w:lang w:val="id-ID"/>
        </w:rPr>
      </w:pPr>
    </w:p>
    <w:p w14:paraId="4E065809" w14:textId="77777777" w:rsidR="00927211" w:rsidRPr="007A4984" w:rsidRDefault="00927211" w:rsidP="00927211">
      <w:pPr>
        <w:tabs>
          <w:tab w:val="left" w:pos="142"/>
        </w:tabs>
        <w:spacing w:after="0" w:line="360" w:lineRule="auto"/>
        <w:jc w:val="both"/>
        <w:rPr>
          <w:rFonts w:ascii="Palatino Linotype" w:hAnsi="Palatino Linotype" w:cs="Times New Roman"/>
          <w:color w:val="000000"/>
          <w:lang w:val="id-ID"/>
        </w:rPr>
      </w:pPr>
      <w:r w:rsidRPr="007A4984">
        <w:rPr>
          <w:rFonts w:ascii="Palatino Linotype" w:hAnsi="Palatino Linotype" w:cs="Times New Roman"/>
          <w:color w:val="000000"/>
          <w:lang w:val="id-ID"/>
        </w:rPr>
        <w:t xml:space="preserve">Dari hasil regresi diatas dapat dilihat bahwa: </w:t>
      </w:r>
    </w:p>
    <w:p w14:paraId="646C3D2A" w14:textId="77777777" w:rsidR="00927211" w:rsidRPr="007A4984" w:rsidRDefault="00927211" w:rsidP="00927211">
      <w:pPr>
        <w:tabs>
          <w:tab w:val="left" w:pos="142"/>
        </w:tabs>
        <w:spacing w:after="0" w:line="360" w:lineRule="auto"/>
        <w:jc w:val="both"/>
        <w:rPr>
          <w:rFonts w:ascii="Palatino Linotype" w:hAnsi="Palatino Linotype" w:cs="Times New Roman"/>
          <w:color w:val="000000"/>
          <w:lang w:val="id-ID"/>
        </w:rPr>
      </w:pPr>
      <w:r w:rsidRPr="007A4984">
        <w:rPr>
          <w:rFonts w:ascii="Palatino Linotype" w:hAnsi="Palatino Linotype" w:cs="Times New Roman"/>
          <w:color w:val="000000"/>
          <w:lang w:val="id-ID"/>
        </w:rPr>
        <w:t xml:space="preserve">Koefisien = 1,226201, Prob. = 0,0001 (&lt; 0,05) Berarti TPT berpengaruh positif dan signifikan terhadap kemiskinan. Setiap kenaikan TPT sebesar 1%, akan meningkatkan tingkat kemiskinan </w:t>
      </w:r>
      <w:r w:rsidRPr="007A4984">
        <w:rPr>
          <w:rFonts w:ascii="Palatino Linotype" w:hAnsi="Palatino Linotype" w:cs="Times New Roman"/>
          <w:color w:val="000000"/>
          <w:lang w:val="id-ID"/>
        </w:rPr>
        <w:lastRenderedPageBreak/>
        <w:t xml:space="preserve">sebesar 1,2262%, dengan asumsi variabel lain tetap. Hasil ini sesuai teori ekonomi tenaga kerja, di mana semakin tinggi pengangguran akan mengurangi pendapatan rumah tangga sehingga meningkatkan kemiskinan.Variabel Tingkat Pengangguran Terbuka pada </w:t>
      </w:r>
      <w:r w:rsidRPr="007A4984">
        <w:rPr>
          <w:rFonts w:ascii="Palatino Linotype" w:hAnsi="Palatino Linotype" w:cs="Times New Roman"/>
          <w:i/>
          <w:iCs/>
          <w:color w:val="000000"/>
          <w:lang w:val="id-ID"/>
        </w:rPr>
        <w:t>fixed effect model</w:t>
      </w:r>
      <w:r w:rsidRPr="007A4984">
        <w:rPr>
          <w:rFonts w:ascii="Palatino Linotype" w:hAnsi="Palatino Linotype" w:cs="Times New Roman"/>
          <w:color w:val="000000"/>
          <w:lang w:val="id-ID"/>
        </w:rPr>
        <w:t xml:space="preserve"> menujukkan nilai probability sebesar 0.0000 lebih kecil dari α = 0.05 maka h0 ditolak dan H1 diterima artinya berpengaruh signifikan terhadap Kemiskinan.</w:t>
      </w:r>
    </w:p>
    <w:p w14:paraId="70E6847C" w14:textId="64AC8ABB" w:rsidR="00927211" w:rsidRPr="007A4984" w:rsidRDefault="00927211" w:rsidP="00927211">
      <w:pPr>
        <w:autoSpaceDE w:val="0"/>
        <w:autoSpaceDN w:val="0"/>
        <w:adjustRightInd w:val="0"/>
        <w:spacing w:after="0" w:line="360" w:lineRule="auto"/>
        <w:ind w:right="20"/>
        <w:jc w:val="both"/>
        <w:rPr>
          <w:rFonts w:ascii="Palatino Linotype" w:hAnsi="Palatino Linotype" w:cs="Times New Roman"/>
          <w:color w:val="000000"/>
          <w:lang w:val="id-ID"/>
        </w:rPr>
      </w:pPr>
      <w:r w:rsidRPr="007A4984">
        <w:rPr>
          <w:rFonts w:ascii="Palatino Linotype" w:hAnsi="Palatino Linotype" w:cs="Times New Roman"/>
          <w:color w:val="000000"/>
          <w:lang w:val="id-ID"/>
        </w:rPr>
        <w:t xml:space="preserve">Variabel Tingkat Partisipasi Angkatan Kerja pada </w:t>
      </w:r>
      <w:r w:rsidRPr="007A4984">
        <w:rPr>
          <w:rFonts w:ascii="Palatino Linotype" w:hAnsi="Palatino Linotype" w:cs="Times New Roman"/>
          <w:i/>
          <w:iCs/>
          <w:color w:val="000000"/>
          <w:lang w:val="id-ID"/>
        </w:rPr>
        <w:t>fixed effect model</w:t>
      </w:r>
      <w:r w:rsidRPr="007A4984">
        <w:rPr>
          <w:rFonts w:ascii="Palatino Linotype" w:hAnsi="Palatino Linotype" w:cs="Times New Roman"/>
          <w:color w:val="000000"/>
          <w:lang w:val="id-ID"/>
        </w:rPr>
        <w:t xml:space="preserve"> menunjukkan nilai probability sebesar 0.0000 lebih kecil dari α = 0.05 maka h0 ditolak dan H1 diterima artinya berpengaruh negatif dan signifikan terhadap Kemiskinan.</w:t>
      </w:r>
      <w:r w:rsidR="007B708A" w:rsidRPr="007A4984">
        <w:rPr>
          <w:rFonts w:ascii="Palatino Linotype" w:hAnsi="Palatino Linotype" w:cs="Times New Roman"/>
          <w:color w:val="000000"/>
          <w:lang w:val="id-ID"/>
        </w:rPr>
        <w:t xml:space="preserve"> </w:t>
      </w:r>
      <w:r w:rsidRPr="007A4984">
        <w:rPr>
          <w:rFonts w:ascii="Palatino Linotype" w:hAnsi="Palatino Linotype" w:cs="Times New Roman"/>
          <w:color w:val="000000"/>
          <w:lang w:val="id-ID"/>
        </w:rPr>
        <w:t>TPT p-value 0,0001 &lt; 0,05 disimpulkan  signifikan positif.</w:t>
      </w:r>
      <w:r w:rsidR="007B708A" w:rsidRPr="007A4984">
        <w:rPr>
          <w:rFonts w:ascii="Palatino Linotype" w:hAnsi="Palatino Linotype" w:cs="Times New Roman"/>
          <w:color w:val="000000"/>
          <w:lang w:val="id-ID"/>
        </w:rPr>
        <w:t xml:space="preserve"> </w:t>
      </w:r>
      <w:r w:rsidRPr="007A4984">
        <w:rPr>
          <w:rFonts w:ascii="Palatino Linotype" w:hAnsi="Palatino Linotype" w:cs="Times New Roman"/>
          <w:color w:val="000000"/>
          <w:lang w:val="id-ID"/>
        </w:rPr>
        <w:t>TPAK p-value 0,0000 &lt; 0,05 disimpulkan  signifikan negatif.</w:t>
      </w:r>
    </w:p>
    <w:p w14:paraId="56756A61" w14:textId="77777777" w:rsidR="00927211" w:rsidRPr="007A4984" w:rsidRDefault="00927211" w:rsidP="00927211">
      <w:pPr>
        <w:keepNext/>
        <w:keepLines/>
        <w:spacing w:after="0" w:line="360" w:lineRule="auto"/>
        <w:jc w:val="both"/>
        <w:outlineLvl w:val="2"/>
        <w:rPr>
          <w:rFonts w:ascii="Palatino Linotype" w:eastAsiaTheme="majorEastAsia" w:hAnsi="Palatino Linotype" w:cstheme="majorBidi"/>
          <w:b/>
          <w:lang w:val="id-ID"/>
        </w:rPr>
      </w:pPr>
      <w:bookmarkStart w:id="18" w:name="_Toc204721455"/>
      <w:r w:rsidRPr="007A4984">
        <w:rPr>
          <w:rFonts w:ascii="Palatino Linotype" w:eastAsiaTheme="majorEastAsia" w:hAnsi="Palatino Linotype" w:cstheme="majorBidi"/>
          <w:b/>
          <w:lang w:val="id-ID"/>
        </w:rPr>
        <w:t>Pengaruh Tingkat Pengangguran Terbuka Terhadap Kemiskinan</w:t>
      </w:r>
      <w:bookmarkEnd w:id="18"/>
    </w:p>
    <w:p w14:paraId="717EE347" w14:textId="77777777" w:rsidR="00927211" w:rsidRPr="007A4984" w:rsidRDefault="00927211" w:rsidP="00927211">
      <w:pPr>
        <w:spacing w:after="0" w:line="360" w:lineRule="auto"/>
        <w:jc w:val="both"/>
        <w:rPr>
          <w:rFonts w:ascii="Palatino Linotype" w:hAnsi="Palatino Linotype" w:cs="Times New Roman"/>
          <w:color w:val="000000"/>
          <w:lang w:val="id-ID"/>
        </w:rPr>
      </w:pPr>
      <w:r w:rsidRPr="007A4984">
        <w:rPr>
          <w:rFonts w:ascii="Palatino Linotype" w:hAnsi="Palatino Linotype" w:cs="Times New Roman"/>
          <w:color w:val="000000"/>
          <w:lang w:val="id-ID"/>
        </w:rPr>
        <w:tab/>
        <w:t>Berdasarkan dari pengujian yang sudah dilakukan, Probabilitas dari Tingkat Pengangguran Terbuka</w:t>
      </w:r>
      <w:r w:rsidRPr="007A4984">
        <w:rPr>
          <w:rFonts w:ascii="Palatino Linotype" w:hAnsi="Palatino Linotype" w:cs="Times New Roman"/>
          <w:b/>
          <w:bCs/>
          <w:color w:val="000000"/>
          <w:lang w:val="id-ID"/>
        </w:rPr>
        <w:t xml:space="preserve"> </w:t>
      </w:r>
      <w:r w:rsidRPr="007A4984">
        <w:rPr>
          <w:rFonts w:ascii="Palatino Linotype" w:hAnsi="Palatino Linotype" w:cs="Times New Roman"/>
          <w:color w:val="000000"/>
          <w:lang w:val="id-ID"/>
        </w:rPr>
        <w:t>sebesar 1.207176</w:t>
      </w:r>
      <w:r w:rsidRPr="007A4984">
        <w:rPr>
          <w:rFonts w:ascii="Palatino Linotype" w:hAnsi="Palatino Linotype" w:cs="Arial"/>
          <w:color w:val="000000"/>
          <w:lang w:val="id-ID"/>
        </w:rPr>
        <w:t xml:space="preserve"> </w:t>
      </w:r>
      <w:r w:rsidRPr="007A4984">
        <w:rPr>
          <w:rFonts w:ascii="Palatino Linotype" w:hAnsi="Palatino Linotype" w:cs="Times New Roman"/>
          <w:color w:val="000000"/>
          <w:lang w:val="id-ID"/>
        </w:rPr>
        <w:t xml:space="preserve">dengan koefisien 0.0001 dimana TPT memiliki pengaruh terhadap Kemiskinan Kab/Kota Di Provinsi Aceh. Sehingga apabila terjadi kenaikan 1 persen TPT diperkirakan akan meningkatkan tingkat kemiskinan sebesar 1,207 persen, dengan asumsi variabel lain tetap. </w:t>
      </w:r>
    </w:p>
    <w:p w14:paraId="2BE2050B" w14:textId="77777777" w:rsidR="00927211" w:rsidRPr="007A4984" w:rsidRDefault="00927211" w:rsidP="00927211">
      <w:pPr>
        <w:spacing w:after="0" w:line="360" w:lineRule="auto"/>
        <w:ind w:firstLine="720"/>
        <w:jc w:val="both"/>
        <w:rPr>
          <w:rFonts w:ascii="Palatino Linotype" w:hAnsi="Palatino Linotype" w:cs="Times New Roman"/>
          <w:color w:val="000000"/>
          <w:lang w:val="id-ID"/>
        </w:rPr>
      </w:pPr>
      <w:r w:rsidRPr="007A4984">
        <w:rPr>
          <w:rFonts w:ascii="Palatino Linotype" w:hAnsi="Palatino Linotype" w:cs="Times New Roman"/>
          <w:lang w:val="id-ID"/>
        </w:rPr>
        <w:t xml:space="preserve">Hasil penelitian ini sejalan dengan temuan </w:t>
      </w:r>
      <w:r w:rsidRPr="007A4984">
        <w:rPr>
          <w:rFonts w:ascii="Palatino Linotype" w:hAnsi="Palatino Linotype" w:cs="Times New Roman"/>
          <w:lang w:val="id-ID"/>
        </w:rPr>
        <w:fldChar w:fldCharType="begin" w:fldLock="1"/>
      </w:r>
      <w:r w:rsidRPr="007A4984">
        <w:rPr>
          <w:rFonts w:ascii="Palatino Linotype" w:hAnsi="Palatino Linotype" w:cs="Times New Roman"/>
          <w:lang w:val="id-ID"/>
        </w:rPr>
        <w:instrText>ADDIN CSL_CITATION {"citationItems":[{"id":"ITEM-1","itemData":{"author":[{"dropping-particle":"","family":"Zulkarnain","given":"","non-dropping-particle":"","parse-names":false,"suffix":""}],"container-title":"Jurnal Ekonomi Pembangunan","id":"ITEM-1","issue":"2","issued":{"date-parts":[["2022"]]},"page":"145-158","title":"Analisis Faktor-Faktor yang Mempengaruhi Kemiskinan di Provinsi Aceh","type":"article-journal","volume":"13"},"uris":["http://www.mendeley.com/documents/?uuid=9621a2ce-b182-4b30-86c7-2243ece8ca4f"]}],"mendeley":{"formattedCitation":"(Zulkarnain, 2022)","plainTextFormattedCitation":"(Zulkarnain, 2022)","previouslyFormattedCitation":"(Zulkarnain, 2022)"},"properties":{"noteIndex":0},"schema":"https://github.com/citation-style-language/schema/raw/master/csl-citation.json"}</w:instrText>
      </w:r>
      <w:r w:rsidRPr="007A4984">
        <w:rPr>
          <w:rFonts w:ascii="Palatino Linotype" w:hAnsi="Palatino Linotype" w:cs="Times New Roman"/>
          <w:lang w:val="id-ID"/>
        </w:rPr>
        <w:fldChar w:fldCharType="separate"/>
      </w:r>
      <w:r w:rsidRPr="007A4984">
        <w:rPr>
          <w:rFonts w:ascii="Palatino Linotype" w:hAnsi="Palatino Linotype" w:cs="Times New Roman"/>
          <w:noProof/>
          <w:lang w:val="id-ID"/>
        </w:rPr>
        <w:t>(Zulkarnain, 2022)</w:t>
      </w:r>
      <w:r w:rsidRPr="007A4984">
        <w:rPr>
          <w:rFonts w:ascii="Palatino Linotype" w:hAnsi="Palatino Linotype" w:cs="Times New Roman"/>
          <w:lang w:val="id-ID"/>
        </w:rPr>
        <w:fldChar w:fldCharType="end"/>
      </w:r>
      <w:r w:rsidRPr="007A4984">
        <w:rPr>
          <w:rFonts w:ascii="Palatino Linotype" w:hAnsi="Palatino Linotype" w:cs="Times New Roman"/>
          <w:lang w:val="id-ID"/>
        </w:rPr>
        <w:t xml:space="preserve"> yang menunjukkan bahwa peningkatan Tingkat Pengangguran Terbuka berkontribusi signifikan terhadap peningkatan kemiskinan di Aceh. Hal ini mendukung pandangan teori Keynes yang menegaskan bahwa tingginya pengangguran akan mengurangi daya beli masyarakat dan meningkatkan jumlah penduduk miskin.</w:t>
      </w:r>
    </w:p>
    <w:p w14:paraId="18E84034" w14:textId="77777777" w:rsidR="00927211" w:rsidRPr="007A4984" w:rsidRDefault="00927211" w:rsidP="00145AD2">
      <w:pPr>
        <w:keepNext/>
        <w:keepLines/>
        <w:spacing w:after="0" w:line="360" w:lineRule="auto"/>
        <w:jc w:val="both"/>
        <w:outlineLvl w:val="2"/>
        <w:rPr>
          <w:rFonts w:ascii="Palatino Linotype" w:eastAsiaTheme="majorEastAsia" w:hAnsi="Palatino Linotype" w:cs="Times New Roman"/>
          <w:b/>
          <w:lang w:val="id-ID"/>
        </w:rPr>
      </w:pPr>
      <w:bookmarkStart w:id="19" w:name="_Toc204721456"/>
      <w:r w:rsidRPr="007A4984">
        <w:rPr>
          <w:rFonts w:ascii="Palatino Linotype" w:eastAsiaTheme="majorEastAsia" w:hAnsi="Palatino Linotype" w:cs="Times New Roman"/>
          <w:b/>
          <w:lang w:val="id-ID"/>
        </w:rPr>
        <w:t>Pengaruh Tingkat Partisipasi Angkatan Kerja Terhadap Kemiskinan</w:t>
      </w:r>
      <w:bookmarkEnd w:id="19"/>
    </w:p>
    <w:p w14:paraId="20F3D020" w14:textId="77777777" w:rsidR="00927211" w:rsidRPr="007A4984" w:rsidRDefault="00927211" w:rsidP="00927211">
      <w:pPr>
        <w:spacing w:after="0" w:line="360" w:lineRule="auto"/>
        <w:jc w:val="both"/>
        <w:rPr>
          <w:rFonts w:ascii="Palatino Linotype" w:hAnsi="Palatino Linotype" w:cs="Times New Roman"/>
          <w:color w:val="000000"/>
          <w:lang w:val="id-ID"/>
        </w:rPr>
      </w:pPr>
      <w:r w:rsidRPr="007A4984">
        <w:rPr>
          <w:rFonts w:ascii="Palatino Linotype" w:hAnsi="Palatino Linotype"/>
          <w:lang w:val="id-ID"/>
        </w:rPr>
        <w:tab/>
      </w:r>
      <w:r w:rsidRPr="007A4984">
        <w:rPr>
          <w:rFonts w:ascii="Palatino Linotype" w:hAnsi="Palatino Linotype" w:cs="Times New Roman"/>
          <w:color w:val="000000"/>
          <w:lang w:val="id-ID"/>
        </w:rPr>
        <w:t>Berdasarkan dari pengujian yang sudah dilakukan, Tingkat Partisipasi Angkatan Kerja (TPAK) memiliki koefisien sebesar -0,175 dengan nilai probabilitas 0,000. Ini menunjukkan bahwa TPAK berpengaruh negatif dan signifikan terhadap tingkat kemiskinan. Artinya, setiap kenaikan 1 persen TPAK diperkirakan akan menurunkan tingkat kemiskinan sebesar 0,175 persen, dengan asumsi variabel lain tetap.</w:t>
      </w:r>
    </w:p>
    <w:p w14:paraId="44842F2C" w14:textId="77777777" w:rsidR="00927211" w:rsidRPr="007A4984" w:rsidRDefault="00927211" w:rsidP="00927211">
      <w:pPr>
        <w:spacing w:after="0" w:line="360" w:lineRule="auto"/>
        <w:ind w:firstLine="720"/>
        <w:jc w:val="both"/>
        <w:rPr>
          <w:rFonts w:ascii="Palatino Linotype" w:hAnsi="Palatino Linotype" w:cs="Times New Roman"/>
          <w:color w:val="000000"/>
          <w:lang w:val="id-ID"/>
        </w:rPr>
      </w:pPr>
      <w:r w:rsidRPr="007A4984">
        <w:rPr>
          <w:rFonts w:ascii="Palatino Linotype" w:hAnsi="Palatino Linotype" w:cs="Times New Roman"/>
          <w:lang w:val="id-ID"/>
        </w:rPr>
        <w:t xml:space="preserve">Hasil ini sejalan dengan penelitian </w:t>
      </w:r>
      <w:r w:rsidRPr="007A4984">
        <w:rPr>
          <w:rFonts w:ascii="Palatino Linotype" w:hAnsi="Palatino Linotype" w:cs="Times New Roman"/>
          <w:lang w:val="id-ID"/>
        </w:rPr>
        <w:fldChar w:fldCharType="begin" w:fldLock="1"/>
      </w:r>
      <w:r w:rsidRPr="007A4984">
        <w:rPr>
          <w:rFonts w:ascii="Palatino Linotype" w:hAnsi="Palatino Linotype" w:cs="Times New Roman"/>
          <w:lang w:val="id-ID"/>
        </w:rPr>
        <w:instrText>ADDIN CSL_CITATION {"citationItems":[{"id":"ITEM-1","itemData":{"author":[{"dropping-particle":"","family":"Putra","given":"A","non-dropping-particle":"","parse-names":false,"suffix":""},{"dropping-particle":"","family":"Sari","given":"D","non-dropping-particle":"","parse-names":false,"suffix":""}],"container-title":"Jurnal Ekonomi dan Pembangunan Indonesia","id":"ITEM-1","issue":"1","issued":{"date-parts":[["2021"]]},"page":"1-15","title":"Determinan Kemiskinan di Indonesia: Pendekatan Data Panel","type":"article-journal","volume":"21"},"uris":["http://www.mendeley.com/documents/?uuid=520afe26-06a4-4e1d-9aa5-bdd8d69ef442"]}],"mendeley":{"formattedCitation":"(Putra &amp; Sari, 2021)","plainTextFormattedCitation":"(Putra &amp; Sari, 2021)","previouslyFormattedCitation":"(Putra &amp; Sari, 2021)"},"properties":{"noteIndex":0},"schema":"https://github.com/citation-style-language/schema/raw/master/csl-citation.json"}</w:instrText>
      </w:r>
      <w:r w:rsidRPr="007A4984">
        <w:rPr>
          <w:rFonts w:ascii="Palatino Linotype" w:hAnsi="Palatino Linotype" w:cs="Times New Roman"/>
          <w:lang w:val="id-ID"/>
        </w:rPr>
        <w:fldChar w:fldCharType="separate"/>
      </w:r>
      <w:r w:rsidRPr="007A4984">
        <w:rPr>
          <w:rFonts w:ascii="Palatino Linotype" w:hAnsi="Palatino Linotype" w:cs="Times New Roman"/>
          <w:noProof/>
          <w:lang w:val="id-ID"/>
        </w:rPr>
        <w:t>(Putra &amp; Sari, 2021)</w:t>
      </w:r>
      <w:r w:rsidRPr="007A4984">
        <w:rPr>
          <w:rFonts w:ascii="Palatino Linotype" w:hAnsi="Palatino Linotype" w:cs="Times New Roman"/>
          <w:lang w:val="id-ID"/>
        </w:rPr>
        <w:fldChar w:fldCharType="end"/>
      </w:r>
      <w:r w:rsidRPr="007A4984">
        <w:rPr>
          <w:rFonts w:ascii="Palatino Linotype" w:hAnsi="Palatino Linotype" w:cs="Times New Roman"/>
          <w:lang w:val="id-ID"/>
        </w:rPr>
        <w:t xml:space="preserve"> yang menemukan bahwa kenaikan Tingkat Partisipasi Angkatan Kerja berdampak negatif dan signifikan  terhadap penurunan kemiskinan di Indonesia, karena semakin banyak penduduk yang terlibat dalam aktivitas ekonomi produktif sehingga meningkatkan pendapatan rumah tangga.</w:t>
      </w:r>
    </w:p>
    <w:p w14:paraId="06CC7FA9" w14:textId="7BC66D03" w:rsidR="006968A6" w:rsidRPr="007A4984" w:rsidRDefault="00927211" w:rsidP="007B708A">
      <w:pPr>
        <w:spacing w:after="0" w:line="360" w:lineRule="auto"/>
        <w:ind w:firstLine="720"/>
        <w:jc w:val="both"/>
        <w:rPr>
          <w:rFonts w:ascii="Palatino Linotype" w:hAnsi="Palatino Linotype" w:cs="Times New Roman"/>
          <w:color w:val="000000"/>
          <w:lang w:val="id-ID"/>
        </w:rPr>
      </w:pPr>
      <w:r w:rsidRPr="007A4984">
        <w:rPr>
          <w:rFonts w:ascii="Palatino Linotype" w:hAnsi="Palatino Linotype" w:cs="Times New Roman"/>
          <w:color w:val="000000"/>
          <w:lang w:val="id-ID"/>
        </w:rPr>
        <w:t xml:space="preserve">Hasil penelitian ini sejalan dengan penelitian </w:t>
      </w:r>
      <w:r w:rsidRPr="007A4984">
        <w:rPr>
          <w:rFonts w:ascii="Palatino Linotype" w:hAnsi="Palatino Linotype" w:cs="Times New Roman"/>
          <w:color w:val="000000"/>
          <w:lang w:val="id-ID"/>
        </w:rPr>
        <w:fldChar w:fldCharType="begin" w:fldLock="1"/>
      </w:r>
      <w:r w:rsidRPr="007A4984">
        <w:rPr>
          <w:rFonts w:ascii="Palatino Linotype" w:hAnsi="Palatino Linotype" w:cs="Times New Roman"/>
          <w:color w:val="000000"/>
          <w:lang w:val="id-ID"/>
        </w:rPr>
        <w:instrText>ADDIN CSL_CITATION {"citationItems":[{"id":"ITEM-1","itemData":{"DOI":"10.24843/eep.2023.v12.i11.p02","abstract":"The problem of poverty has a very urgent nature and has no clear boundaries. This is due not only to its continued upward trend, but also to its impact that transcends the economic sphere, encompasses social aspects and even threatens political stability within the country. Most countries with large populations also tend to have higher poverty rates compared to countries with smaller populations. Likewise, with the level of education and TPAK where inmany communities with low economies, opportunities to get adequate education, ranging from elementary to higher, are often limited, furthermore, if TPAK increases this can have a positive impact on economic growth. This study uses time series data with variables of population growth, education level, , TPAK, and poverty rate in the last 26 years, namely 1996-2021 until the number of observations is 26 observation points. Based on the results of data processing and testing simultaneously shows that population growth, education rate, and labor force participation rate (TPAK) affect simultaneously in Papua Province. Population growth has a negative and significant effect on poverty. The level of education, that is, the average length of schooling, has a negative and insignificant effect on poverty. The labor force participation rate (TPAK) has a negative and significant effect on poverty.\r keyword: Population Growth, Education Level, TPAK, Poverty","author":[{"dropping-particle":"","family":"Vistalia Alo","given":"Fransiska","non-dropping-particle":"","parse-names":false,"suffix":""},{"dropping-particle":"","family":"Sukadana","given":"I Wayan","non-dropping-particle":"","parse-names":false,"suffix":""}],"container-title":"E-Jurnal Ekonomi Pembangunan Universitas Udayana","id":"ITEM-1","issue":"11","issued":{"date-parts":[["2023"]]},"page":"736-747","title":"Analisis Pengaruh Pertumbuhan Penduduk, Tingkat Pendidikan Dan Tingkat Partisipasi Angkatan Kerja (Tpak) Terhadap Kemiskinan Di Provinsi Papua","type":"article-journal","volume":"12"},"uris":["http://www.mendeley.com/documents/?uuid=8c21f3ca-477e-4061-b93f-024c4259f67b"]}],"mendeley":{"formattedCitation":"(Vistalia Alo &amp; Sukadana, 2023)","plainTextFormattedCitation":"(Vistalia Alo &amp; Sukadana, 2023)","previouslyFormattedCitation":"(Vistalia Alo &amp; Sukadana, 2023)"},"properties":{"noteIndex":0},"schema":"https://github.com/citation-style-language/schema/raw/master/csl-citation.json"}</w:instrText>
      </w:r>
      <w:r w:rsidRPr="007A4984">
        <w:rPr>
          <w:rFonts w:ascii="Palatino Linotype" w:hAnsi="Palatino Linotype" w:cs="Times New Roman"/>
          <w:color w:val="000000"/>
          <w:lang w:val="id-ID"/>
        </w:rPr>
        <w:fldChar w:fldCharType="separate"/>
      </w:r>
      <w:r w:rsidRPr="007A4984">
        <w:rPr>
          <w:rFonts w:ascii="Palatino Linotype" w:hAnsi="Palatino Linotype" w:cs="Times New Roman"/>
          <w:noProof/>
          <w:color w:val="000000"/>
          <w:lang w:val="id-ID"/>
        </w:rPr>
        <w:t>(Vistalia Alo &amp; Sukadana, 2023)</w:t>
      </w:r>
      <w:r w:rsidRPr="007A4984">
        <w:rPr>
          <w:rFonts w:ascii="Palatino Linotype" w:hAnsi="Palatino Linotype" w:cs="Times New Roman"/>
          <w:color w:val="000000"/>
          <w:lang w:val="id-ID"/>
        </w:rPr>
        <w:fldChar w:fldCharType="end"/>
      </w:r>
      <w:r w:rsidRPr="007A4984">
        <w:rPr>
          <w:rFonts w:ascii="Palatino Linotype" w:hAnsi="Palatino Linotype" w:cs="Times New Roman"/>
          <w:color w:val="000000"/>
          <w:lang w:val="id-ID"/>
        </w:rPr>
        <w:t xml:space="preserve"> Berdasarkan hasil ujit Tingkat Partisipasi Angkatan Kerja (X3) terhadap Kemiskinan (Y) </w:t>
      </w:r>
      <w:r w:rsidRPr="007A4984">
        <w:rPr>
          <w:rFonts w:ascii="Palatino Linotype" w:hAnsi="Palatino Linotype" w:cs="Times New Roman"/>
          <w:color w:val="000000"/>
          <w:lang w:val="id-ID"/>
        </w:rPr>
        <w:lastRenderedPageBreak/>
        <w:t>diperoleh nilai thitung sebesar -2.976 lebih kecil dari ttabel 1.717 dan hasil signifikansi 0.007 &lt; 0.05, yang berarti H0 diterima dan H1 ditolak maka secara parsial TPAK berpengaruh negatif dan signifikan terhadap kemiskinan (Y) di Provinsi Papua.</w:t>
      </w:r>
      <w:r w:rsidRPr="007A4984">
        <w:rPr>
          <w:rFonts w:ascii="Palatino Linotype" w:hAnsi="Palatino Linotype"/>
          <w:lang w:val="id-ID"/>
        </w:rPr>
        <w:t xml:space="preserve"> </w:t>
      </w:r>
      <w:r w:rsidRPr="007A4984">
        <w:rPr>
          <w:rFonts w:ascii="Palatino Linotype" w:hAnsi="Palatino Linotype" w:cs="Times New Roman"/>
          <w:color w:val="000000"/>
          <w:lang w:val="id-ID"/>
        </w:rPr>
        <w:t>yang mengemukakan bahwa Tingkat Partisipasi Angkatan Kerja (TPAK) yang rendah menjadi salah satu faktor penyebab kemiskinan.</w:t>
      </w:r>
    </w:p>
    <w:p w14:paraId="28AA4451" w14:textId="54D55D5A" w:rsidR="00EB7AAD" w:rsidRPr="007A4984" w:rsidRDefault="00880B19" w:rsidP="00EB7AAD">
      <w:pPr>
        <w:spacing w:after="0" w:line="360" w:lineRule="auto"/>
        <w:jc w:val="both"/>
        <w:rPr>
          <w:rFonts w:ascii="Palatino Linotype" w:hAnsi="Palatino Linotype" w:cs="Times New Roman"/>
          <w:color w:val="000000" w:themeColor="text1"/>
          <w:lang w:val="id-ID"/>
        </w:rPr>
      </w:pPr>
      <w:r w:rsidRPr="007A4984">
        <w:rPr>
          <w:rFonts w:ascii="Palatino Linotype" w:hAnsi="Palatino Linotype" w:cs="Times New Roman"/>
          <w:b/>
          <w:color w:val="000000" w:themeColor="text1"/>
          <w:lang w:val="id-ID"/>
        </w:rPr>
        <w:t>KESIMPULAN DAN IMPLIKASI</w:t>
      </w:r>
    </w:p>
    <w:p w14:paraId="66518F01" w14:textId="01F7329D" w:rsidR="00D9493C" w:rsidRPr="007A4984" w:rsidRDefault="00E140CF" w:rsidP="00F210F1">
      <w:pPr>
        <w:spacing w:after="0" w:line="360" w:lineRule="auto"/>
        <w:ind w:firstLine="720"/>
        <w:jc w:val="both"/>
        <w:rPr>
          <w:rFonts w:ascii="Palatino Linotype" w:hAnsi="Palatino Linotype" w:cs="Times New Roman"/>
          <w:color w:val="000000" w:themeColor="text1"/>
          <w:lang w:val="id-ID"/>
        </w:rPr>
      </w:pPr>
      <w:r w:rsidRPr="007A4984">
        <w:rPr>
          <w:rFonts w:ascii="Palatino Linotype" w:hAnsi="Palatino Linotype" w:cs="Times New Roman"/>
          <w:color w:val="000000" w:themeColor="text1"/>
          <w:lang w:val="id-ID"/>
        </w:rPr>
        <w:t>Berdasarkan hasil penelitian yang telah dilakukan, dapat disimpulkan bahwa kondisi ketenagakerjaan memiliki pengaruh signifikan terhadap tingkat kemiskinan di Provinsi Aceh selama periode 2018-2024. Tingkat Pengangguran Terbuka (TPT) terbukti berpengaruh positif dan signifikan terhadap kemiskinan, di mana setiap peningkatan TPT sebesar 1% akan meningkatkan tingkat kemiskinan sebesar 1,22%, yang menunjukkan bahwa peningkatan pengangguran secara langsung memperburuk kondisi kemiskinan. Sebaliknya, Tingkat Partisipasi Angkatan Kerja (TPAK) berpengaruh negatif dan signifikan terhadap kemiskinan, dengan setiap peningkatan TPAK sebesar 1% mampu menurunkan tingkat kemiskinan sebesar 0,22%, membuktikan bahwa semakin tinggi partisipasi masyarakat dalam aktivitas ekonomi, semakin besar peluang untuk menekan angka kemiskinan. Model penelitian ini mampu menjelaskan 68,87% variasi perubahan tingkat kemiskinan (R-squared = 0.686746), sementara 31,13% sisanya dijelaskan oleh faktor-faktor lain di luar model, sehingga dapat dikonfirmasi bahwa variabel ketenagakerjaan merupakan determinan penting dalam upaya pengentasan kemiskinan di Provinsi Aceh.</w:t>
      </w:r>
    </w:p>
    <w:p w14:paraId="05E4ADD0" w14:textId="41C9B9FB" w:rsidR="00671163" w:rsidRPr="007A4984" w:rsidRDefault="00D9493C" w:rsidP="00671163">
      <w:pPr>
        <w:spacing w:after="0" w:line="360" w:lineRule="auto"/>
        <w:jc w:val="both"/>
        <w:rPr>
          <w:rFonts w:ascii="Palatino Linotype" w:eastAsia="Times New Roman" w:hAnsi="Palatino Linotype" w:cs="Times New Roman"/>
          <w:lang w:val="id-ID"/>
        </w:rPr>
      </w:pPr>
      <w:r w:rsidRPr="007A4984">
        <w:rPr>
          <w:rFonts w:ascii="Palatino Linotype" w:eastAsia="Times New Roman" w:hAnsi="Palatino Linotype" w:cs="Times New Roman"/>
          <w:b/>
          <w:bCs/>
          <w:lang w:val="id-ID"/>
        </w:rPr>
        <w:t>REKOMENDASI</w:t>
      </w:r>
    </w:p>
    <w:p w14:paraId="070C2A66" w14:textId="67711C7B" w:rsidR="00671163" w:rsidRDefault="00F210F1" w:rsidP="007A4984">
      <w:pPr>
        <w:spacing w:after="0" w:line="360" w:lineRule="auto"/>
        <w:ind w:firstLine="720"/>
        <w:jc w:val="both"/>
        <w:rPr>
          <w:rFonts w:ascii="Palatino Linotype" w:eastAsia="Times New Roman" w:hAnsi="Palatino Linotype" w:cs="Times New Roman"/>
          <w:lang w:val="id-ID"/>
        </w:rPr>
      </w:pPr>
      <w:r w:rsidRPr="007A4984">
        <w:rPr>
          <w:rFonts w:ascii="Palatino Linotype" w:eastAsia="Times New Roman" w:hAnsi="Palatino Linotype" w:cs="Times New Roman"/>
          <w:lang w:val="id-ID"/>
        </w:rPr>
        <w:t>Penelitian ini merekomendasikan agar pemerintah pusat dan daerah menerapkan kebijakan terintegrasi yang menekankan penciptaan lapangan kerja berkelanjutan, pemberdayaan ekonomi lokal, serta peningkatan kualitas SDM melalui pelatihan dan upskilling. Penelitian selanjutnya disarankan menambahkan variabel lain seperti inflasi, pertumbuhan ekonomi, pendidikan, atau belanja pemerintah untuk analisis yang lebih komprehensif. Hasil studi ini diharapkan menjadi referensi bagi pemerintah dan akademisi dalam merumuskan strategi pembangunan ekonomi Aceh yang berfokus pada pengurangan pengangguran dan peningkatan kesejahteraan secara berkelanjutan.</w:t>
      </w:r>
    </w:p>
    <w:p w14:paraId="4BB17E10" w14:textId="77777777" w:rsidR="00735C43" w:rsidRDefault="00735C43" w:rsidP="007A4984">
      <w:pPr>
        <w:spacing w:after="0" w:line="360" w:lineRule="auto"/>
        <w:ind w:firstLine="720"/>
        <w:jc w:val="both"/>
        <w:rPr>
          <w:rFonts w:ascii="Palatino Linotype" w:eastAsia="Times New Roman" w:hAnsi="Palatino Linotype" w:cs="Times New Roman"/>
          <w:lang w:val="id-ID"/>
        </w:rPr>
      </w:pPr>
    </w:p>
    <w:p w14:paraId="2E20C132" w14:textId="77777777" w:rsidR="00735C43" w:rsidRDefault="00735C43" w:rsidP="007A4984">
      <w:pPr>
        <w:spacing w:after="0" w:line="360" w:lineRule="auto"/>
        <w:ind w:firstLine="720"/>
        <w:jc w:val="both"/>
        <w:rPr>
          <w:rFonts w:ascii="Palatino Linotype" w:eastAsia="Times New Roman" w:hAnsi="Palatino Linotype" w:cs="Times New Roman"/>
          <w:lang w:val="id-ID"/>
        </w:rPr>
      </w:pPr>
    </w:p>
    <w:p w14:paraId="573D6C81" w14:textId="77777777" w:rsidR="00735C43" w:rsidRPr="007A4984" w:rsidRDefault="00735C43" w:rsidP="007A4984">
      <w:pPr>
        <w:spacing w:after="0" w:line="360" w:lineRule="auto"/>
        <w:ind w:firstLine="720"/>
        <w:jc w:val="both"/>
        <w:rPr>
          <w:rFonts w:ascii="Palatino Linotype" w:eastAsia="Times New Roman" w:hAnsi="Palatino Linotype" w:cs="Times New Roman"/>
          <w:lang w:val="id-ID"/>
        </w:rPr>
      </w:pPr>
    </w:p>
    <w:p w14:paraId="7102310E" w14:textId="77777777" w:rsidR="00F210F1" w:rsidRPr="007A4984" w:rsidRDefault="00F210F1" w:rsidP="0012744C">
      <w:pPr>
        <w:spacing w:after="0" w:line="240" w:lineRule="auto"/>
        <w:jc w:val="both"/>
        <w:rPr>
          <w:rFonts w:ascii="Palatino Linotype" w:eastAsia="Times New Roman" w:hAnsi="Palatino Linotype" w:cs="Times New Roman"/>
          <w:b/>
          <w:bCs/>
          <w:lang w:val="id-ID"/>
        </w:rPr>
      </w:pPr>
    </w:p>
    <w:p w14:paraId="41212472" w14:textId="5FDE2660" w:rsidR="002866E5" w:rsidRPr="007A4984" w:rsidRDefault="00A73FDF" w:rsidP="003819F4">
      <w:pPr>
        <w:spacing w:after="0" w:line="360" w:lineRule="auto"/>
        <w:jc w:val="both"/>
        <w:rPr>
          <w:rFonts w:ascii="Palatino Linotype" w:hAnsi="Palatino Linotype"/>
          <w:b/>
          <w:bCs/>
          <w:color w:val="000000" w:themeColor="text1"/>
          <w:lang w:val="id-ID"/>
        </w:rPr>
      </w:pPr>
      <w:r w:rsidRPr="007A4984">
        <w:rPr>
          <w:rFonts w:ascii="Palatino Linotype" w:hAnsi="Palatino Linotype"/>
          <w:b/>
          <w:bCs/>
          <w:color w:val="000000" w:themeColor="text1"/>
          <w:lang w:val="id-ID"/>
        </w:rPr>
        <w:lastRenderedPageBreak/>
        <w:t>DAFTAR PUSTAKA</w:t>
      </w:r>
    </w:p>
    <w:p w14:paraId="56456300" w14:textId="45E09C0C" w:rsidR="0016745E" w:rsidRPr="007A4984" w:rsidRDefault="0016745E" w:rsidP="002866E5">
      <w:pPr>
        <w:widowControl w:val="0"/>
        <w:autoSpaceDE w:val="0"/>
        <w:autoSpaceDN w:val="0"/>
        <w:adjustRightInd w:val="0"/>
        <w:spacing w:after="60" w:line="360" w:lineRule="auto"/>
        <w:ind w:left="480" w:hanging="480"/>
        <w:jc w:val="both"/>
        <w:rPr>
          <w:rFonts w:ascii="Palatino Linotype" w:hAnsi="Palatino Linotype" w:cs="Times New Roman"/>
          <w:lang w:val="id-ID"/>
        </w:rPr>
      </w:pPr>
      <w:r w:rsidRPr="007A4984">
        <w:rPr>
          <w:rFonts w:ascii="Palatino Linotype" w:eastAsiaTheme="minorEastAsia" w:hAnsi="Palatino Linotype" w:cs="Times New Roman"/>
          <w:color w:val="000000"/>
          <w:lang w:val="id-ID"/>
        </w:rPr>
        <w:t>Adawiyah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E</w:t>
      </w:r>
      <w:r w:rsidR="00480D23" w:rsidRPr="007A4984">
        <w:rPr>
          <w:rFonts w:ascii="Palatino Linotype" w:eastAsiaTheme="minorEastAsia" w:hAnsi="Palatino Linotype" w:cs="Times New Roman"/>
          <w:color w:val="000000"/>
          <w:lang w:val="id-ID"/>
        </w:rPr>
        <w:t xml:space="preserve">. (2020). </w:t>
      </w:r>
      <w:r w:rsidRPr="007A4984">
        <w:rPr>
          <w:rFonts w:ascii="Palatino Linotype" w:eastAsiaTheme="minorEastAsia" w:hAnsi="Palatino Linotype" w:cs="Times New Roman"/>
          <w:color w:val="000000"/>
          <w:lang w:val="id-ID"/>
        </w:rPr>
        <w:t xml:space="preserve">Kemiskinan </w:t>
      </w:r>
      <w:r w:rsidR="00480D23" w:rsidRPr="007A4984">
        <w:rPr>
          <w:rFonts w:ascii="Palatino Linotype" w:eastAsiaTheme="minorEastAsia" w:hAnsi="Palatino Linotype" w:cs="Times New Roman"/>
          <w:color w:val="000000"/>
          <w:lang w:val="id-ID"/>
        </w:rPr>
        <w:t>Dan Faktor-Faktor Penyebabnya.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w:t>
      </w:r>
      <w:r w:rsidRPr="007A4984">
        <w:rPr>
          <w:rFonts w:ascii="Palatino Linotype" w:eastAsiaTheme="minorEastAsia" w:hAnsi="Palatino Linotype" w:cs="Times New Roman"/>
          <w:color w:val="000000"/>
          <w:lang w:val="id-ID"/>
        </w:rPr>
        <w:t>April</w:t>
      </w:r>
      <w:r w:rsidR="00480D23" w:rsidRPr="007A4984">
        <w:rPr>
          <w:rFonts w:ascii="Palatino Linotype" w:eastAsiaTheme="minorEastAsia" w:hAnsi="Palatino Linotype" w:cs="Times New Roman"/>
          <w:color w:val="000000"/>
          <w:lang w:val="id-ID"/>
        </w:rPr>
        <w:t>), 43.</w:t>
      </w:r>
    </w:p>
    <w:p w14:paraId="3EF3DBEE" w14:textId="06F3E479"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Alo</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F</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V</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Sukadana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W</w:t>
      </w:r>
      <w:r w:rsidR="00480D23" w:rsidRPr="007A4984">
        <w:rPr>
          <w:rFonts w:ascii="Palatino Linotype" w:eastAsiaTheme="minorEastAsia" w:hAnsi="Palatino Linotype" w:cs="Times New Roman"/>
          <w:color w:val="000000"/>
          <w:lang w:val="id-ID"/>
        </w:rPr>
        <w:t xml:space="preserve">. (2023).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Pengaruh Pertumbuhan Penduduk, Tingkat Pendidikan Dan Tingkat Partisipassi Angkatan Kerja (</w:t>
      </w:r>
      <w:r w:rsidRPr="007A4984">
        <w:rPr>
          <w:rFonts w:ascii="Palatino Linotype" w:eastAsiaTheme="minorEastAsia" w:hAnsi="Palatino Linotype" w:cs="Times New Roman"/>
          <w:color w:val="000000"/>
          <w:lang w:val="id-ID"/>
        </w:rPr>
        <w:t>TPAK</w:t>
      </w:r>
      <w:r w:rsidR="00480D23" w:rsidRPr="007A4984">
        <w:rPr>
          <w:rFonts w:ascii="Palatino Linotype" w:eastAsiaTheme="minorEastAsia" w:hAnsi="Palatino Linotype" w:cs="Times New Roman"/>
          <w:color w:val="000000"/>
          <w:lang w:val="id-ID"/>
        </w:rPr>
        <w:t xml:space="preserve">) Terhadap Kemiskinan Di </w:t>
      </w:r>
      <w:r w:rsidRPr="007A4984">
        <w:rPr>
          <w:rFonts w:ascii="Palatino Linotype" w:eastAsiaTheme="minorEastAsia" w:hAnsi="Palatino Linotype" w:cs="Times New Roman"/>
          <w:color w:val="000000"/>
          <w:lang w:val="id-ID"/>
        </w:rPr>
        <w:t>Provinsi Papua</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E</w:t>
      </w:r>
      <w:r w:rsidR="00480D23" w:rsidRPr="007A4984">
        <w:rPr>
          <w:rFonts w:ascii="Palatino Linotype" w:eastAsiaTheme="minorEastAsia" w:hAnsi="Palatino Linotype" w:cs="Times New Roman"/>
          <w:i/>
          <w:iCs/>
          <w:color w:val="000000"/>
          <w:lang w:val="id-ID"/>
        </w:rPr>
        <w:t>-</w:t>
      </w:r>
      <w:r w:rsidRPr="007A4984">
        <w:rPr>
          <w:rFonts w:ascii="Palatino Linotype" w:eastAsiaTheme="minorEastAsia" w:hAnsi="Palatino Linotype" w:cs="Times New Roman"/>
          <w:i/>
          <w:iCs/>
          <w:color w:val="000000"/>
          <w:lang w:val="id-ID"/>
        </w:rPr>
        <w:t>Jurnal Ekonomi Pembangunan Universitas Udayana</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12</w:t>
      </w:r>
      <w:r w:rsidR="00480D23" w:rsidRPr="007A4984">
        <w:rPr>
          <w:rFonts w:ascii="Palatino Linotype" w:eastAsiaTheme="minorEastAsia" w:hAnsi="Palatino Linotype" w:cs="Times New Roman"/>
          <w:color w:val="000000"/>
          <w:lang w:val="id-ID"/>
        </w:rPr>
        <w:t>(11), 736–747.</w:t>
      </w:r>
    </w:p>
    <w:p w14:paraId="2C4906A3" w14:textId="26209756"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Ashari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T</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Athoillah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w:t>
      </w:r>
      <w:r w:rsidR="00480D23" w:rsidRPr="007A4984">
        <w:rPr>
          <w:rFonts w:ascii="Palatino Linotype" w:eastAsiaTheme="minorEastAsia" w:hAnsi="Palatino Linotype" w:cs="Times New Roman"/>
          <w:color w:val="000000"/>
          <w:lang w:val="id-ID"/>
        </w:rPr>
        <w:t xml:space="preserve">. (2023).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 xml:space="preserve">Pengaruh Tingkat Pengangguran Terbuka, Tingkat Partisipasi Angkatan Kerja, Upah Minimum, Indeks Pembangunan Manusia, Pertumbuhan Ekonomi Dan Jumlah Penduduk Terhadap Kemiskinan Di Kawasan </w:t>
      </w:r>
      <w:r w:rsidRPr="007A4984">
        <w:rPr>
          <w:rFonts w:ascii="Palatino Linotype" w:eastAsiaTheme="minorEastAsia" w:hAnsi="Palatino Linotype" w:cs="Times New Roman"/>
          <w:color w:val="000000"/>
          <w:lang w:val="id-ID"/>
        </w:rPr>
        <w:t>Tapal Kuda</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 xml:space="preserve">Journal </w:t>
      </w:r>
      <w:r w:rsidR="00480D23" w:rsidRPr="007A4984">
        <w:rPr>
          <w:rFonts w:ascii="Palatino Linotype" w:eastAsiaTheme="minorEastAsia" w:hAnsi="Palatino Linotype" w:cs="Times New Roman"/>
          <w:i/>
          <w:iCs/>
          <w:color w:val="000000"/>
          <w:lang w:val="id-ID"/>
        </w:rPr>
        <w:t xml:space="preserve">Of </w:t>
      </w:r>
      <w:r w:rsidRPr="007A4984">
        <w:rPr>
          <w:rFonts w:ascii="Palatino Linotype" w:eastAsiaTheme="minorEastAsia" w:hAnsi="Palatino Linotype" w:cs="Times New Roman"/>
          <w:i/>
          <w:iCs/>
          <w:color w:val="000000"/>
          <w:lang w:val="id-ID"/>
        </w:rPr>
        <w:t xml:space="preserve">Development Economic </w:t>
      </w:r>
      <w:r w:rsidR="00480D23" w:rsidRPr="007A4984">
        <w:rPr>
          <w:rFonts w:ascii="Palatino Linotype" w:eastAsiaTheme="minorEastAsia" w:hAnsi="Palatino Linotype" w:cs="Times New Roman"/>
          <w:i/>
          <w:iCs/>
          <w:color w:val="000000"/>
          <w:lang w:val="id-ID"/>
        </w:rPr>
        <w:t xml:space="preserve">And </w:t>
      </w:r>
      <w:r w:rsidRPr="007A4984">
        <w:rPr>
          <w:rFonts w:ascii="Palatino Linotype" w:eastAsiaTheme="minorEastAsia" w:hAnsi="Palatino Linotype" w:cs="Times New Roman"/>
          <w:i/>
          <w:iCs/>
          <w:color w:val="000000"/>
          <w:lang w:val="id-ID"/>
        </w:rPr>
        <w:t>Social Studies</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2</w:t>
      </w:r>
      <w:r w:rsidR="00480D23" w:rsidRPr="007A4984">
        <w:rPr>
          <w:rFonts w:ascii="Palatino Linotype" w:eastAsiaTheme="minorEastAsia" w:hAnsi="Palatino Linotype" w:cs="Times New Roman"/>
          <w:color w:val="000000"/>
          <w:lang w:val="id-ID"/>
        </w:rPr>
        <w:t>(2), 313–326.</w:t>
      </w:r>
    </w:p>
    <w:p w14:paraId="08907881" w14:textId="4880D5D7"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BPS</w:t>
      </w:r>
      <w:r w:rsidR="00480D23" w:rsidRPr="007A4984">
        <w:rPr>
          <w:rFonts w:ascii="Palatino Linotype" w:eastAsiaTheme="minorEastAsia" w:hAnsi="Palatino Linotype" w:cs="Times New Roman"/>
          <w:color w:val="000000"/>
          <w:lang w:val="id-ID"/>
        </w:rPr>
        <w:t xml:space="preserve">. (2014). </w:t>
      </w:r>
      <w:r w:rsidRPr="007A4984">
        <w:rPr>
          <w:rFonts w:ascii="Palatino Linotype" w:eastAsiaTheme="minorEastAsia" w:hAnsi="Palatino Linotype" w:cs="Times New Roman"/>
          <w:color w:val="000000"/>
          <w:lang w:val="id-ID"/>
        </w:rPr>
        <w:t xml:space="preserve">Survei </w:t>
      </w:r>
      <w:r w:rsidR="00480D23" w:rsidRPr="007A4984">
        <w:rPr>
          <w:rFonts w:ascii="Palatino Linotype" w:eastAsiaTheme="minorEastAsia" w:hAnsi="Palatino Linotype" w:cs="Times New Roman"/>
          <w:color w:val="000000"/>
          <w:lang w:val="id-ID"/>
        </w:rPr>
        <w:t>Angkatan Kerja Nasional 2014.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 1–4.</w:t>
      </w:r>
    </w:p>
    <w:p w14:paraId="296BA5CF" w14:textId="0E465A56" w:rsidR="0016745E" w:rsidRPr="007A4984" w:rsidRDefault="0016745E" w:rsidP="002866E5">
      <w:pPr>
        <w:spacing w:after="0" w:line="360" w:lineRule="auto"/>
        <w:ind w:left="720" w:hanging="720"/>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BPS</w:t>
      </w:r>
      <w:r w:rsidR="00480D23" w:rsidRPr="007A4984">
        <w:rPr>
          <w:rFonts w:ascii="Palatino Linotype" w:eastAsiaTheme="minorEastAsia" w:hAnsi="Palatino Linotype" w:cs="Times New Roman"/>
          <w:color w:val="000000"/>
          <w:lang w:val="id-ID"/>
        </w:rPr>
        <w:t>. (2022).</w:t>
      </w:r>
      <w:r w:rsidRPr="007A4984">
        <w:rPr>
          <w:rFonts w:ascii="Palatino Linotype" w:eastAsiaTheme="minorEastAsia" w:hAnsi="Palatino Linotype" w:cs="Times New Roman"/>
          <w:color w:val="000000"/>
          <w:lang w:val="id-ID"/>
        </w:rPr>
        <w:t xml:space="preserve">Berita </w:t>
      </w:r>
      <w:r w:rsidR="00480D23" w:rsidRPr="007A4984">
        <w:rPr>
          <w:rFonts w:ascii="Palatino Linotype" w:eastAsiaTheme="minorEastAsia" w:hAnsi="Palatino Linotype" w:cs="Times New Roman"/>
          <w:color w:val="000000"/>
          <w:lang w:val="id-ID"/>
        </w:rPr>
        <w:t>Resmi Statistik. </w:t>
      </w:r>
      <w:r w:rsidRPr="007A4984">
        <w:rPr>
          <w:rFonts w:ascii="Palatino Linotype" w:eastAsiaTheme="minorEastAsia" w:hAnsi="Palatino Linotype" w:cs="Times New Roman"/>
          <w:i/>
          <w:iCs/>
          <w:color w:val="000000"/>
          <w:lang w:val="id-ID"/>
        </w:rPr>
        <w:t>Bps</w:t>
      </w:r>
      <w:r w:rsidR="00480D23" w:rsidRPr="007A4984">
        <w:rPr>
          <w:rFonts w:ascii="Palatino Linotype" w:eastAsiaTheme="minorEastAsia" w:hAnsi="Palatino Linotype" w:cs="Times New Roman"/>
          <w:i/>
          <w:iCs/>
          <w:color w:val="000000"/>
          <w:lang w:val="id-ID"/>
        </w:rPr>
        <w:t>.</w:t>
      </w:r>
      <w:r w:rsidRPr="007A4984">
        <w:rPr>
          <w:rFonts w:ascii="Palatino Linotype" w:eastAsiaTheme="minorEastAsia" w:hAnsi="Palatino Linotype" w:cs="Times New Roman"/>
          <w:i/>
          <w:iCs/>
          <w:color w:val="000000"/>
          <w:lang w:val="id-ID"/>
        </w:rPr>
        <w:t>Go</w:t>
      </w:r>
      <w:r w:rsidR="00480D23" w:rsidRPr="007A4984">
        <w:rPr>
          <w:rFonts w:ascii="Palatino Linotype" w:eastAsiaTheme="minorEastAsia" w:hAnsi="Palatino Linotype" w:cs="Times New Roman"/>
          <w:i/>
          <w:iCs/>
          <w:color w:val="000000"/>
          <w:lang w:val="id-ID"/>
        </w:rPr>
        <w:t>.</w:t>
      </w:r>
      <w:r w:rsidRPr="007A4984">
        <w:rPr>
          <w:rFonts w:ascii="Palatino Linotype" w:eastAsiaTheme="minorEastAsia" w:hAnsi="Palatino Linotype" w:cs="Times New Roman"/>
          <w:i/>
          <w:iCs/>
          <w:color w:val="000000"/>
          <w:lang w:val="id-ID"/>
        </w:rPr>
        <w:t>Id</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19</w:t>
      </w:r>
      <w:r w:rsidR="00480D23" w:rsidRPr="007A4984">
        <w:rPr>
          <w:rFonts w:ascii="Palatino Linotype" w:eastAsiaTheme="minorEastAsia" w:hAnsi="Palatino Linotype" w:cs="Times New Roman"/>
          <w:color w:val="000000"/>
          <w:lang w:val="id-ID"/>
        </w:rPr>
        <w:t>(27), 1–5.</w:t>
      </w:r>
    </w:p>
    <w:p w14:paraId="21C4D1D7" w14:textId="07D34AF6"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Budhi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S</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Kembar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w:t>
      </w:r>
      <w:r w:rsidR="00480D23" w:rsidRPr="007A4984">
        <w:rPr>
          <w:rFonts w:ascii="Palatino Linotype" w:eastAsiaTheme="minorEastAsia" w:hAnsi="Palatino Linotype" w:cs="Times New Roman"/>
          <w:color w:val="000000"/>
          <w:lang w:val="id-ID"/>
        </w:rPr>
        <w:t xml:space="preserve">. (2013).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 xml:space="preserve">Faktor-Faktor Yang Berpengaruh Terhadap Pengentasan Kemiskinan Di </w:t>
      </w:r>
      <w:r w:rsidRPr="007A4984">
        <w:rPr>
          <w:rFonts w:ascii="Palatino Linotype" w:eastAsiaTheme="minorEastAsia" w:hAnsi="Palatino Linotype" w:cs="Times New Roman"/>
          <w:color w:val="000000"/>
          <w:lang w:val="id-ID"/>
        </w:rPr>
        <w:t>Bali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 xml:space="preserve">Analisis FEM </w:t>
      </w:r>
      <w:r w:rsidR="00480D23" w:rsidRPr="007A4984">
        <w:rPr>
          <w:rFonts w:ascii="Palatino Linotype" w:eastAsiaTheme="minorEastAsia" w:hAnsi="Palatino Linotype" w:cs="Times New Roman"/>
          <w:color w:val="000000"/>
          <w:lang w:val="id-ID"/>
        </w:rPr>
        <w:t>Data Panel. </w:t>
      </w:r>
      <w:r w:rsidRPr="007A4984">
        <w:rPr>
          <w:rFonts w:ascii="Palatino Linotype" w:eastAsiaTheme="minorEastAsia" w:hAnsi="Palatino Linotype" w:cs="Times New Roman"/>
          <w:i/>
          <w:iCs/>
          <w:color w:val="000000"/>
          <w:lang w:val="id-ID"/>
        </w:rPr>
        <w:t>Jurnal Ekonomi Kuantitatif Terapan</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6</w:t>
      </w:r>
      <w:r w:rsidR="00480D23" w:rsidRPr="007A4984">
        <w:rPr>
          <w:rFonts w:ascii="Palatino Linotype" w:eastAsiaTheme="minorEastAsia" w:hAnsi="Palatino Linotype" w:cs="Times New Roman"/>
          <w:color w:val="000000"/>
          <w:lang w:val="id-ID"/>
        </w:rPr>
        <w:t>(1), 44289.</w:t>
      </w:r>
    </w:p>
    <w:p w14:paraId="16B2DE34" w14:textId="477E9249"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Delviera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Amar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S</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Model</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E</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Model</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E</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Artikel</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I</w:t>
      </w:r>
      <w:r w:rsidR="00480D23" w:rsidRPr="007A4984">
        <w:rPr>
          <w:rFonts w:ascii="Palatino Linotype" w:eastAsiaTheme="minorEastAsia" w:hAnsi="Palatino Linotype" w:cs="Times New Roman"/>
          <w:color w:val="000000"/>
          <w:lang w:val="id-ID"/>
        </w:rPr>
        <w:t xml:space="preserve">. (2022). </w:t>
      </w:r>
      <w:r w:rsidRPr="007A4984">
        <w:rPr>
          <w:rFonts w:ascii="Palatino Linotype" w:eastAsiaTheme="minorEastAsia" w:hAnsi="Palatino Linotype" w:cs="Times New Roman"/>
          <w:color w:val="000000"/>
          <w:lang w:val="id-ID"/>
        </w:rPr>
        <w:t xml:space="preserve">Pengaruh </w:t>
      </w:r>
      <w:r w:rsidR="00480D23" w:rsidRPr="007A4984">
        <w:rPr>
          <w:rFonts w:ascii="Palatino Linotype" w:eastAsiaTheme="minorEastAsia" w:hAnsi="Palatino Linotype" w:cs="Times New Roman"/>
          <w:color w:val="000000"/>
          <w:lang w:val="id-ID"/>
        </w:rPr>
        <w:t xml:space="preserve">Tingkat Partisipasi Angkatan Kerja, Upah Minimum Dan Investasi Terhadap Kemiskinan Di </w:t>
      </w:r>
      <w:r w:rsidRPr="007A4984">
        <w:rPr>
          <w:rFonts w:ascii="Palatino Linotype" w:eastAsiaTheme="minorEastAsia" w:hAnsi="Palatino Linotype" w:cs="Times New Roman"/>
          <w:color w:val="000000"/>
          <w:lang w:val="id-ID"/>
        </w:rPr>
        <w:t>Indonesia</w:t>
      </w:r>
      <w:r w:rsidR="00480D23" w:rsidRPr="007A4984">
        <w:rPr>
          <w:rFonts w:ascii="Palatino Linotype" w:eastAsiaTheme="minorEastAsia" w:hAnsi="Palatino Linotype" w:cs="Times New Roman"/>
          <w:color w:val="000000"/>
          <w:lang w:val="id-ID"/>
        </w:rPr>
        <w:t>.</w:t>
      </w:r>
    </w:p>
    <w:p w14:paraId="67033419" w14:textId="6FB20AA4"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Faelassuffa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Yuliani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E</w:t>
      </w:r>
      <w:r w:rsidR="00480D23" w:rsidRPr="007A4984">
        <w:rPr>
          <w:rFonts w:ascii="Palatino Linotype" w:eastAsiaTheme="minorEastAsia" w:hAnsi="Palatino Linotype" w:cs="Times New Roman"/>
          <w:color w:val="000000"/>
          <w:lang w:val="id-ID"/>
        </w:rPr>
        <w:t xml:space="preserve">. (2022). </w:t>
      </w:r>
      <w:r w:rsidRPr="007A4984">
        <w:rPr>
          <w:rFonts w:ascii="Palatino Linotype" w:eastAsiaTheme="minorEastAsia" w:hAnsi="Palatino Linotype" w:cs="Times New Roman"/>
          <w:color w:val="000000"/>
          <w:lang w:val="id-ID"/>
        </w:rPr>
        <w:t xml:space="preserve">Kajian </w:t>
      </w:r>
      <w:r w:rsidR="00480D23" w:rsidRPr="007A4984">
        <w:rPr>
          <w:rFonts w:ascii="Palatino Linotype" w:eastAsiaTheme="minorEastAsia" w:hAnsi="Palatino Linotype" w:cs="Times New Roman"/>
          <w:color w:val="000000"/>
          <w:lang w:val="id-ID"/>
        </w:rPr>
        <w:t>Tingkat Partisipasi Angkatan Kerja Terhadap Indeks Pembangunan Manusia. </w:t>
      </w:r>
      <w:r w:rsidRPr="007A4984">
        <w:rPr>
          <w:rFonts w:ascii="Palatino Linotype" w:eastAsiaTheme="minorEastAsia" w:hAnsi="Palatino Linotype" w:cs="Times New Roman"/>
          <w:i/>
          <w:iCs/>
          <w:color w:val="000000"/>
          <w:lang w:val="id-ID"/>
        </w:rPr>
        <w:t>Jurnal Kajian Ruang</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(1), 49.</w:t>
      </w:r>
    </w:p>
    <w:p w14:paraId="00F2A0AB" w14:textId="7056EAB9"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 xml:space="preserve">Gatiningsih </w:t>
      </w:r>
      <w:r w:rsidR="00480D23" w:rsidRPr="007A4984">
        <w:rPr>
          <w:rFonts w:ascii="Palatino Linotype" w:eastAsiaTheme="minorEastAsia" w:hAnsi="Palatino Linotype" w:cs="Times New Roman"/>
          <w:color w:val="000000"/>
          <w:lang w:val="id-ID"/>
        </w:rPr>
        <w:t xml:space="preserve">&amp; </w:t>
      </w:r>
      <w:r w:rsidRPr="007A4984">
        <w:rPr>
          <w:rFonts w:ascii="Palatino Linotype" w:eastAsiaTheme="minorEastAsia" w:hAnsi="Palatino Linotype" w:cs="Times New Roman"/>
          <w:color w:val="000000"/>
          <w:lang w:val="id-ID"/>
        </w:rPr>
        <w:t>Sutrisno</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E</w:t>
      </w:r>
      <w:r w:rsidR="00480D23" w:rsidRPr="007A4984">
        <w:rPr>
          <w:rFonts w:ascii="Palatino Linotype" w:eastAsiaTheme="minorEastAsia" w:hAnsi="Palatino Linotype" w:cs="Times New Roman"/>
          <w:color w:val="000000"/>
          <w:lang w:val="id-ID"/>
        </w:rPr>
        <w:t xml:space="preserve">. (2017). </w:t>
      </w:r>
      <w:r w:rsidRPr="007A4984">
        <w:rPr>
          <w:rFonts w:ascii="Palatino Linotype" w:eastAsiaTheme="minorEastAsia" w:hAnsi="Palatino Linotype" w:cs="Times New Roman"/>
          <w:color w:val="000000"/>
          <w:lang w:val="id-ID"/>
        </w:rPr>
        <w:t xml:space="preserve">Kependudukan </w:t>
      </w:r>
      <w:r w:rsidR="00480D23" w:rsidRPr="007A4984">
        <w:rPr>
          <w:rFonts w:ascii="Palatino Linotype" w:eastAsiaTheme="minorEastAsia" w:hAnsi="Palatino Linotype" w:cs="Times New Roman"/>
          <w:color w:val="000000"/>
          <w:lang w:val="id-ID"/>
        </w:rPr>
        <w:t xml:space="preserve">Dan Ketenagakerjaan. </w:t>
      </w:r>
      <w:r w:rsidRPr="007A4984">
        <w:rPr>
          <w:rFonts w:ascii="Palatino Linotype" w:eastAsiaTheme="minorEastAsia" w:hAnsi="Palatino Linotype" w:cs="Times New Roman"/>
          <w:color w:val="000000"/>
          <w:lang w:val="id-ID"/>
        </w:rPr>
        <w:t>In </w:t>
      </w:r>
      <w:r w:rsidRPr="007A4984">
        <w:rPr>
          <w:rFonts w:ascii="Palatino Linotype" w:eastAsiaTheme="minorEastAsia" w:hAnsi="Palatino Linotype" w:cs="Times New Roman"/>
          <w:i/>
          <w:iCs/>
          <w:color w:val="000000"/>
          <w:lang w:val="id-ID"/>
        </w:rPr>
        <w:t xml:space="preserve">Modul </w:t>
      </w:r>
      <w:r w:rsidR="00480D23" w:rsidRPr="007A4984">
        <w:rPr>
          <w:rFonts w:ascii="Palatino Linotype" w:eastAsiaTheme="minorEastAsia" w:hAnsi="Palatino Linotype" w:cs="Times New Roman"/>
          <w:i/>
          <w:iCs/>
          <w:color w:val="000000"/>
          <w:lang w:val="id-ID"/>
        </w:rPr>
        <w:t>Mata Kuliah</w:t>
      </w:r>
      <w:r w:rsidR="00480D23" w:rsidRPr="007A4984">
        <w:rPr>
          <w:rFonts w:ascii="Palatino Linotype" w:eastAsiaTheme="minorEastAsia" w:hAnsi="Palatino Linotype" w:cs="Times New Roman"/>
          <w:color w:val="000000"/>
          <w:lang w:val="id-ID"/>
        </w:rPr>
        <w:t>. </w:t>
      </w:r>
      <w:hyperlink r:id="rId16" w:history="1">
        <w:r w:rsidR="00480D23" w:rsidRPr="007A4984">
          <w:rPr>
            <w:rFonts w:ascii="Palatino Linotype" w:eastAsiaTheme="minorEastAsia" w:hAnsi="Palatino Linotype" w:cs="Times New Roman"/>
            <w:u w:val="single"/>
            <w:lang w:val="id-ID"/>
          </w:rPr>
          <w:t>Http://Eprints.Ipdn.Ac.Id/2402/1/</w:t>
        </w:r>
        <w:r w:rsidRPr="007A4984">
          <w:rPr>
            <w:rFonts w:ascii="Palatino Linotype" w:eastAsiaTheme="minorEastAsia" w:hAnsi="Palatino Linotype" w:cs="Times New Roman"/>
            <w:u w:val="single"/>
            <w:lang w:val="id-ID"/>
          </w:rPr>
          <w:t>Buku</w:t>
        </w:r>
      </w:hyperlink>
      <w:r w:rsidRPr="007A4984">
        <w:rPr>
          <w:rFonts w:ascii="Palatino Linotype" w:eastAsiaTheme="minorEastAsia" w:hAnsi="Palatino Linotype" w:cs="Times New Roman"/>
          <w:color w:val="000000"/>
          <w:lang w:val="id-ID"/>
        </w:rPr>
        <w:t xml:space="preserve"> GATI </w:t>
      </w:r>
      <w:r w:rsidR="00480D23" w:rsidRPr="007A4984">
        <w:rPr>
          <w:rFonts w:ascii="Palatino Linotype" w:eastAsiaTheme="minorEastAsia" w:hAnsi="Palatino Linotype" w:cs="Times New Roman"/>
          <w:color w:val="000000"/>
          <w:lang w:val="id-ID"/>
        </w:rPr>
        <w:t xml:space="preserve">Dan </w:t>
      </w:r>
      <w:r w:rsidRPr="007A4984">
        <w:rPr>
          <w:rFonts w:ascii="Palatino Linotype" w:eastAsiaTheme="minorEastAsia" w:hAnsi="Palatino Linotype" w:cs="Times New Roman"/>
          <w:color w:val="000000"/>
          <w:lang w:val="id-ID"/>
        </w:rPr>
        <w:t xml:space="preserve">EKO Kependudukan </w:t>
      </w:r>
    </w:p>
    <w:p w14:paraId="770A5DB7" w14:textId="4DE053B5"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Hasmah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Asrani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G</w:t>
      </w:r>
      <w:r w:rsidR="00480D23" w:rsidRPr="007A4984">
        <w:rPr>
          <w:rFonts w:ascii="Palatino Linotype" w:eastAsiaTheme="minorEastAsia" w:hAnsi="Palatino Linotype" w:cs="Times New Roman"/>
          <w:color w:val="000000"/>
          <w:lang w:val="id-ID"/>
        </w:rPr>
        <w:t xml:space="preserve">. (2020). </w:t>
      </w:r>
      <w:r w:rsidRPr="007A4984">
        <w:rPr>
          <w:rFonts w:ascii="Palatino Linotype" w:eastAsiaTheme="minorEastAsia" w:hAnsi="Palatino Linotype" w:cs="Times New Roman"/>
          <w:color w:val="000000"/>
          <w:lang w:val="id-ID"/>
        </w:rPr>
        <w:t xml:space="preserve">Aplikasi </w:t>
      </w:r>
      <w:r w:rsidR="00480D23" w:rsidRPr="007A4984">
        <w:rPr>
          <w:rFonts w:ascii="Palatino Linotype" w:eastAsiaTheme="minorEastAsia" w:hAnsi="Palatino Linotype" w:cs="Times New Roman"/>
          <w:color w:val="000000"/>
          <w:lang w:val="id-ID"/>
        </w:rPr>
        <w:t xml:space="preserve">Regresi Panel Pada Model Indeks Kedalaman Kemiskinan </w:t>
      </w:r>
      <w:r w:rsidRPr="007A4984">
        <w:rPr>
          <w:rFonts w:ascii="Palatino Linotype" w:eastAsiaTheme="minorEastAsia" w:hAnsi="Palatino Linotype" w:cs="Times New Roman"/>
          <w:color w:val="000000"/>
          <w:lang w:val="id-ID"/>
        </w:rPr>
        <w:t>Provinsi Sulawesi Selatan</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Infinity</w:t>
      </w:r>
      <w:r w:rsidR="00480D23" w:rsidRPr="007A4984">
        <w:rPr>
          <w:rFonts w:ascii="Palatino Linotype" w:eastAsiaTheme="minorEastAsia" w:hAnsi="Palatino Linotype" w:cs="Times New Roman"/>
          <w:i/>
          <w:iCs/>
          <w:color w:val="000000"/>
          <w:lang w:val="id-ID"/>
        </w:rPr>
        <w:t xml:space="preserve">: </w:t>
      </w:r>
      <w:r w:rsidRPr="007A4984">
        <w:rPr>
          <w:rFonts w:ascii="Palatino Linotype" w:eastAsiaTheme="minorEastAsia" w:hAnsi="Palatino Linotype" w:cs="Times New Roman"/>
          <w:i/>
          <w:iCs/>
          <w:color w:val="000000"/>
          <w:lang w:val="id-ID"/>
        </w:rPr>
        <w:t>Jurnal Matematika Dan Aplikasinya</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(1)</w:t>
      </w:r>
    </w:p>
    <w:p w14:paraId="63BA2C04" w14:textId="1126CE8C"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Khomsan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Dharmawan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Sukandar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D</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Syarief</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w:t>
      </w:r>
      <w:r w:rsidR="00480D23" w:rsidRPr="007A4984">
        <w:rPr>
          <w:rFonts w:ascii="Palatino Linotype" w:eastAsiaTheme="minorEastAsia" w:hAnsi="Palatino Linotype" w:cs="Times New Roman"/>
          <w:color w:val="000000"/>
          <w:lang w:val="id-ID"/>
        </w:rPr>
        <w:t>. (2015). </w:t>
      </w:r>
      <w:r w:rsidRPr="007A4984">
        <w:rPr>
          <w:rFonts w:ascii="Palatino Linotype" w:eastAsiaTheme="minorEastAsia" w:hAnsi="Palatino Linotype" w:cs="Times New Roman"/>
          <w:i/>
          <w:iCs/>
          <w:color w:val="000000"/>
          <w:lang w:val="id-ID"/>
        </w:rPr>
        <w:t xml:space="preserve">Indikator </w:t>
      </w:r>
      <w:r w:rsidR="00480D23" w:rsidRPr="007A4984">
        <w:rPr>
          <w:rFonts w:ascii="Palatino Linotype" w:eastAsiaTheme="minorEastAsia" w:hAnsi="Palatino Linotype" w:cs="Times New Roman"/>
          <w:i/>
          <w:iCs/>
          <w:color w:val="000000"/>
          <w:lang w:val="id-ID"/>
        </w:rPr>
        <w:t>Kemiskinan Dan Misklasifikasi Orang Miskin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Yayasan Pustaka Obor Indonesia</w:t>
      </w:r>
      <w:r w:rsidR="00480D23" w:rsidRPr="007A4984">
        <w:rPr>
          <w:rFonts w:ascii="Palatino Linotype" w:eastAsiaTheme="minorEastAsia" w:hAnsi="Palatino Linotype" w:cs="Times New Roman"/>
          <w:color w:val="000000"/>
          <w:lang w:val="id-ID"/>
        </w:rPr>
        <w:t>.</w:t>
      </w:r>
    </w:p>
    <w:p w14:paraId="78378877" w14:textId="23B0D7D6"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Maipita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Hermawan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W</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Rahman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w:t>
      </w:r>
      <w:r w:rsidR="00480D23" w:rsidRPr="007A4984">
        <w:rPr>
          <w:rFonts w:ascii="Palatino Linotype" w:eastAsiaTheme="minorEastAsia" w:hAnsi="Palatino Linotype" w:cs="Times New Roman"/>
          <w:color w:val="000000"/>
          <w:lang w:val="id-ID"/>
        </w:rPr>
        <w:t xml:space="preserve">. (2018). </w:t>
      </w:r>
      <w:r w:rsidRPr="007A4984">
        <w:rPr>
          <w:rFonts w:ascii="Palatino Linotype" w:eastAsiaTheme="minorEastAsia" w:hAnsi="Palatino Linotype" w:cs="Times New Roman"/>
          <w:color w:val="000000"/>
          <w:lang w:val="id-ID"/>
        </w:rPr>
        <w:t xml:space="preserve">The </w:t>
      </w:r>
      <w:r w:rsidR="00480D23" w:rsidRPr="007A4984">
        <w:rPr>
          <w:rFonts w:ascii="Palatino Linotype" w:eastAsiaTheme="minorEastAsia" w:hAnsi="Palatino Linotype" w:cs="Times New Roman"/>
          <w:color w:val="000000"/>
          <w:lang w:val="id-ID"/>
        </w:rPr>
        <w:t xml:space="preserve">Impact Of Middle-Class Towards Economic Growth And Income Inequality In </w:t>
      </w:r>
      <w:r w:rsidRPr="007A4984">
        <w:rPr>
          <w:rFonts w:ascii="Palatino Linotype" w:eastAsiaTheme="minorEastAsia" w:hAnsi="Palatino Linotype" w:cs="Times New Roman"/>
          <w:color w:val="000000"/>
          <w:lang w:val="id-ID"/>
        </w:rPr>
        <w:t>Indonesia</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Jurnal Ekonomi Malaysia</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52</w:t>
      </w:r>
      <w:r w:rsidR="00480D23" w:rsidRPr="007A4984">
        <w:rPr>
          <w:rFonts w:ascii="Palatino Linotype" w:eastAsiaTheme="minorEastAsia" w:hAnsi="Palatino Linotype" w:cs="Times New Roman"/>
          <w:color w:val="000000"/>
          <w:lang w:val="id-ID"/>
        </w:rPr>
        <w:t>(3)</w:t>
      </w:r>
    </w:p>
    <w:p w14:paraId="057B3678" w14:textId="49258408"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Matondang</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K</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Nasution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F</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Hasibuan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Z</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Siagian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P</w:t>
      </w:r>
      <w:r w:rsidR="00480D23" w:rsidRPr="007A4984">
        <w:rPr>
          <w:rFonts w:ascii="Palatino Linotype" w:eastAsiaTheme="minorEastAsia" w:hAnsi="Palatino Linotype" w:cs="Times New Roman"/>
          <w:color w:val="000000"/>
          <w:lang w:val="id-ID"/>
        </w:rPr>
        <w:t xml:space="preserve">. (2024).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Pengaruh Tingkat Partisipasi Angkatan Kerja (</w:t>
      </w:r>
      <w:r w:rsidRPr="007A4984">
        <w:rPr>
          <w:rFonts w:ascii="Palatino Linotype" w:eastAsiaTheme="minorEastAsia" w:hAnsi="Palatino Linotype" w:cs="Times New Roman"/>
          <w:color w:val="000000"/>
          <w:lang w:val="id-ID"/>
        </w:rPr>
        <w:t>TPAK</w:t>
      </w:r>
      <w:r w:rsidR="00480D23" w:rsidRPr="007A4984">
        <w:rPr>
          <w:rFonts w:ascii="Palatino Linotype" w:eastAsiaTheme="minorEastAsia" w:hAnsi="Palatino Linotype" w:cs="Times New Roman"/>
          <w:color w:val="000000"/>
          <w:lang w:val="id-ID"/>
        </w:rPr>
        <w:t>) Dan Indeks Pembangunan Manusia (</w:t>
      </w:r>
      <w:r w:rsidRPr="007A4984">
        <w:rPr>
          <w:rFonts w:ascii="Palatino Linotype" w:eastAsiaTheme="minorEastAsia" w:hAnsi="Palatino Linotype" w:cs="Times New Roman"/>
          <w:color w:val="000000"/>
          <w:lang w:val="id-ID"/>
        </w:rPr>
        <w:t>IPM</w:t>
      </w:r>
      <w:r w:rsidR="00480D23" w:rsidRPr="007A4984">
        <w:rPr>
          <w:rFonts w:ascii="Palatino Linotype" w:eastAsiaTheme="minorEastAsia" w:hAnsi="Palatino Linotype" w:cs="Times New Roman"/>
          <w:color w:val="000000"/>
          <w:lang w:val="id-ID"/>
        </w:rPr>
        <w:t xml:space="preserve">) Terhadap Kemiskinan Di </w:t>
      </w:r>
      <w:r w:rsidRPr="007A4984">
        <w:rPr>
          <w:rFonts w:ascii="Palatino Linotype" w:eastAsiaTheme="minorEastAsia" w:hAnsi="Palatino Linotype" w:cs="Times New Roman"/>
          <w:color w:val="000000"/>
          <w:lang w:val="id-ID"/>
        </w:rPr>
        <w:t>Provinsi Sumatera Utara</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MANTAP</w:t>
      </w:r>
      <w:r w:rsidR="00480D23" w:rsidRPr="007A4984">
        <w:rPr>
          <w:rFonts w:ascii="Palatino Linotype" w:eastAsiaTheme="minorEastAsia" w:hAnsi="Palatino Linotype" w:cs="Times New Roman"/>
          <w:i/>
          <w:iCs/>
          <w:color w:val="000000"/>
          <w:lang w:val="id-ID"/>
        </w:rPr>
        <w:t xml:space="preserve">: </w:t>
      </w:r>
      <w:r w:rsidRPr="007A4984">
        <w:rPr>
          <w:rFonts w:ascii="Palatino Linotype" w:eastAsiaTheme="minorEastAsia" w:hAnsi="Palatino Linotype" w:cs="Times New Roman"/>
          <w:i/>
          <w:iCs/>
          <w:color w:val="000000"/>
          <w:lang w:val="id-ID"/>
        </w:rPr>
        <w:t xml:space="preserve">Journal </w:t>
      </w:r>
      <w:r w:rsidR="00480D23" w:rsidRPr="007A4984">
        <w:rPr>
          <w:rFonts w:ascii="Palatino Linotype" w:eastAsiaTheme="minorEastAsia" w:hAnsi="Palatino Linotype" w:cs="Times New Roman"/>
          <w:i/>
          <w:iCs/>
          <w:color w:val="000000"/>
          <w:lang w:val="id-ID"/>
        </w:rPr>
        <w:t xml:space="preserve">Of </w:t>
      </w:r>
      <w:r w:rsidRPr="007A4984">
        <w:rPr>
          <w:rFonts w:ascii="Palatino Linotype" w:eastAsiaTheme="minorEastAsia" w:hAnsi="Palatino Linotype" w:cs="Times New Roman"/>
          <w:i/>
          <w:iCs/>
          <w:color w:val="000000"/>
          <w:lang w:val="id-ID"/>
        </w:rPr>
        <w:t>Management Accounting</w:t>
      </w:r>
      <w:r w:rsidR="00480D23" w:rsidRPr="007A4984">
        <w:rPr>
          <w:rFonts w:ascii="Palatino Linotype" w:eastAsiaTheme="minorEastAsia" w:hAnsi="Palatino Linotype" w:cs="Times New Roman"/>
          <w:i/>
          <w:iCs/>
          <w:color w:val="000000"/>
          <w:lang w:val="id-ID"/>
        </w:rPr>
        <w:t xml:space="preserve">, </w:t>
      </w:r>
      <w:r w:rsidRPr="007A4984">
        <w:rPr>
          <w:rFonts w:ascii="Palatino Linotype" w:eastAsiaTheme="minorEastAsia" w:hAnsi="Palatino Linotype" w:cs="Times New Roman"/>
          <w:i/>
          <w:iCs/>
          <w:color w:val="000000"/>
          <w:lang w:val="id-ID"/>
        </w:rPr>
        <w:t xml:space="preserve">Tax </w:t>
      </w:r>
      <w:r w:rsidR="00480D23" w:rsidRPr="007A4984">
        <w:rPr>
          <w:rFonts w:ascii="Palatino Linotype" w:eastAsiaTheme="minorEastAsia" w:hAnsi="Palatino Linotype" w:cs="Times New Roman"/>
          <w:i/>
          <w:iCs/>
          <w:color w:val="000000"/>
          <w:lang w:val="id-ID"/>
        </w:rPr>
        <w:t xml:space="preserve">And </w:t>
      </w:r>
      <w:r w:rsidRPr="007A4984">
        <w:rPr>
          <w:rFonts w:ascii="Palatino Linotype" w:eastAsiaTheme="minorEastAsia" w:hAnsi="Palatino Linotype" w:cs="Times New Roman"/>
          <w:i/>
          <w:iCs/>
          <w:color w:val="000000"/>
          <w:lang w:val="id-ID"/>
        </w:rPr>
        <w:t>Production</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2</w:t>
      </w:r>
      <w:r w:rsidR="00480D23" w:rsidRPr="007A4984">
        <w:rPr>
          <w:rFonts w:ascii="Palatino Linotype" w:eastAsiaTheme="minorEastAsia" w:hAnsi="Palatino Linotype" w:cs="Times New Roman"/>
          <w:color w:val="000000"/>
          <w:lang w:val="id-ID"/>
        </w:rPr>
        <w:t>(2), 460–468.</w:t>
      </w:r>
    </w:p>
    <w:p w14:paraId="62E54906" w14:textId="71E3221E"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lastRenderedPageBreak/>
        <w:t>Mirah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Gang I V</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Ijuk</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B</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Merawang</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K</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Bangka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K</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Belitung</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K</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B</w:t>
      </w:r>
      <w:r w:rsidR="00480D23" w:rsidRPr="007A4984">
        <w:rPr>
          <w:rFonts w:ascii="Palatino Linotype" w:eastAsiaTheme="minorEastAsia" w:hAnsi="Palatino Linotype" w:cs="Times New Roman"/>
          <w:color w:val="000000"/>
          <w:lang w:val="id-ID"/>
        </w:rPr>
        <w:t xml:space="preserve">. (N.D.).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Pengaruh Tingkat Partisipasi Angkatan Kerja (</w:t>
      </w:r>
      <w:r w:rsidRPr="007A4984">
        <w:rPr>
          <w:rFonts w:ascii="Palatino Linotype" w:eastAsiaTheme="minorEastAsia" w:hAnsi="Palatino Linotype" w:cs="Times New Roman"/>
          <w:color w:val="000000"/>
          <w:lang w:val="id-ID"/>
        </w:rPr>
        <w:t>TPAK</w:t>
      </w:r>
      <w:r w:rsidR="00480D23" w:rsidRPr="007A4984">
        <w:rPr>
          <w:rFonts w:ascii="Palatino Linotype" w:eastAsiaTheme="minorEastAsia" w:hAnsi="Palatino Linotype" w:cs="Times New Roman"/>
          <w:color w:val="000000"/>
          <w:lang w:val="id-ID"/>
        </w:rPr>
        <w:t>), Jumlah Penduduk Dan Indeks Pembangunan Manusia (</w:t>
      </w:r>
      <w:r w:rsidRPr="007A4984">
        <w:rPr>
          <w:rFonts w:ascii="Palatino Linotype" w:eastAsiaTheme="minorEastAsia" w:hAnsi="Palatino Linotype" w:cs="Times New Roman"/>
          <w:color w:val="000000"/>
          <w:lang w:val="id-ID"/>
        </w:rPr>
        <w:t>IPM</w:t>
      </w:r>
      <w:r w:rsidR="00480D23" w:rsidRPr="007A4984">
        <w:rPr>
          <w:rFonts w:ascii="Palatino Linotype" w:eastAsiaTheme="minorEastAsia" w:hAnsi="Palatino Linotype" w:cs="Times New Roman"/>
          <w:color w:val="000000"/>
          <w:lang w:val="id-ID"/>
        </w:rPr>
        <w:t xml:space="preserve">) Terhadap </w:t>
      </w:r>
      <w:r w:rsidRPr="007A4984">
        <w:rPr>
          <w:rFonts w:ascii="Palatino Linotype" w:eastAsiaTheme="minorEastAsia" w:hAnsi="Palatino Linotype" w:cs="Times New Roman"/>
          <w:color w:val="000000"/>
          <w:lang w:val="id-ID"/>
        </w:rPr>
        <w:t xml:space="preserve">PDRB </w:t>
      </w:r>
      <w:r w:rsidR="00480D23" w:rsidRPr="007A4984">
        <w:rPr>
          <w:rFonts w:ascii="Palatino Linotype" w:eastAsiaTheme="minorEastAsia" w:hAnsi="Palatino Linotype" w:cs="Times New Roman"/>
          <w:color w:val="000000"/>
          <w:lang w:val="id-ID"/>
        </w:rPr>
        <w:t xml:space="preserve">Di </w:t>
      </w:r>
      <w:r w:rsidRPr="007A4984">
        <w:rPr>
          <w:rFonts w:ascii="Palatino Linotype" w:eastAsiaTheme="minorEastAsia" w:hAnsi="Palatino Linotype" w:cs="Times New Roman"/>
          <w:color w:val="000000"/>
          <w:lang w:val="id-ID"/>
        </w:rPr>
        <w:t>Provinsi Bali</w:t>
      </w:r>
      <w:r w:rsidR="00480D23" w:rsidRPr="007A4984">
        <w:rPr>
          <w:rFonts w:ascii="Palatino Linotype" w:eastAsiaTheme="minorEastAsia" w:hAnsi="Palatino Linotype" w:cs="Times New Roman"/>
          <w:color w:val="000000"/>
          <w:lang w:val="id-ID"/>
        </w:rPr>
        <w:t>. 195–210.</w:t>
      </w:r>
    </w:p>
    <w:p w14:paraId="112F4433" w14:textId="659BAD7B"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Nurcahyo</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B</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Riskayanto</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(2018).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Dampak Penciptaan Brand Image Dan Aktifitas Word Of Mouth (</w:t>
      </w:r>
      <w:r w:rsidRPr="007A4984">
        <w:rPr>
          <w:rFonts w:ascii="Palatino Linotype" w:eastAsiaTheme="minorEastAsia" w:hAnsi="Palatino Linotype" w:cs="Times New Roman"/>
          <w:color w:val="000000"/>
          <w:lang w:val="id-ID"/>
        </w:rPr>
        <w:t>WOM</w:t>
      </w:r>
      <w:r w:rsidR="00480D23" w:rsidRPr="007A4984">
        <w:rPr>
          <w:rFonts w:ascii="Palatino Linotype" w:eastAsiaTheme="minorEastAsia" w:hAnsi="Palatino Linotype" w:cs="Times New Roman"/>
          <w:color w:val="000000"/>
          <w:lang w:val="id-ID"/>
        </w:rPr>
        <w:t>) Pada Penguatan Keputusan Pembelian Produk Fashion. </w:t>
      </w:r>
      <w:r w:rsidRPr="007A4984">
        <w:rPr>
          <w:rFonts w:ascii="Palatino Linotype" w:eastAsiaTheme="minorEastAsia" w:hAnsi="Palatino Linotype" w:cs="Times New Roman"/>
          <w:i/>
          <w:iCs/>
          <w:color w:val="000000"/>
          <w:lang w:val="id-ID"/>
        </w:rPr>
        <w:t>Jurnal Nusantara Aplikasi Manajemen Bisnis</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3</w:t>
      </w:r>
      <w:r w:rsidR="00480D23" w:rsidRPr="007A4984">
        <w:rPr>
          <w:rFonts w:ascii="Palatino Linotype" w:eastAsiaTheme="minorEastAsia" w:hAnsi="Palatino Linotype" w:cs="Times New Roman"/>
          <w:color w:val="000000"/>
          <w:lang w:val="id-ID"/>
        </w:rPr>
        <w:t>(1), 14.</w:t>
      </w:r>
    </w:p>
    <w:p w14:paraId="58F9E711" w14:textId="3E41B3DA" w:rsidR="0091049A" w:rsidRPr="007A4984" w:rsidRDefault="0091049A" w:rsidP="0091049A">
      <w:pPr>
        <w:widowControl w:val="0"/>
        <w:autoSpaceDE w:val="0"/>
        <w:autoSpaceDN w:val="0"/>
        <w:adjustRightInd w:val="0"/>
        <w:spacing w:line="360" w:lineRule="auto"/>
        <w:ind w:left="480" w:hanging="480"/>
        <w:divId w:val="184641964"/>
        <w:rPr>
          <w:rFonts w:ascii="Times New Roman" w:hAnsi="Times New Roman" w:cs="Times New Roman"/>
          <w:noProof/>
          <w:lang w:val="id-ID"/>
        </w:rPr>
      </w:pPr>
      <w:r w:rsidRPr="007A4984">
        <w:rPr>
          <w:rFonts w:ascii="Times New Roman" w:hAnsi="Times New Roman" w:cs="Times New Roman"/>
          <w:noProof/>
          <w:lang w:val="id-ID"/>
        </w:rPr>
        <w:t xml:space="preserve">Najmi, I., Hasrina, C. D., Asmawati, A., &amp; Ansari, R. (2024). Belanja Pemerintah, FDI, Pertumbuhan Ekonomi, Pertumbuhan Industri, dan Kemiskinan di Indonesia. </w:t>
      </w:r>
      <w:r w:rsidRPr="007A4984">
        <w:rPr>
          <w:rFonts w:ascii="Times New Roman" w:hAnsi="Times New Roman" w:cs="Times New Roman"/>
          <w:i/>
          <w:iCs/>
          <w:noProof/>
          <w:lang w:val="id-ID"/>
        </w:rPr>
        <w:t>Jurnal Ekonomi Dan Pembangunan Indonesia</w:t>
      </w:r>
      <w:r w:rsidRPr="007A4984">
        <w:rPr>
          <w:rFonts w:ascii="Times New Roman" w:hAnsi="Times New Roman" w:cs="Times New Roman"/>
          <w:noProof/>
          <w:lang w:val="id-ID"/>
        </w:rPr>
        <w:t xml:space="preserve">, </w:t>
      </w:r>
      <w:r w:rsidRPr="007A4984">
        <w:rPr>
          <w:rFonts w:ascii="Times New Roman" w:hAnsi="Times New Roman" w:cs="Times New Roman"/>
          <w:i/>
          <w:iCs/>
          <w:noProof/>
          <w:lang w:val="id-ID"/>
        </w:rPr>
        <w:t>12</w:t>
      </w:r>
      <w:r w:rsidRPr="007A4984">
        <w:rPr>
          <w:rFonts w:ascii="Times New Roman" w:hAnsi="Times New Roman" w:cs="Times New Roman"/>
          <w:noProof/>
          <w:lang w:val="id-ID"/>
        </w:rPr>
        <w:t>(1), 167–183. https://doi.org/10.21002/jepi.2024.11</w:t>
      </w:r>
    </w:p>
    <w:p w14:paraId="5D5803E9" w14:textId="6A726044"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Pinontoan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w:t>
      </w:r>
      <w:r w:rsidR="00480D23" w:rsidRPr="007A4984">
        <w:rPr>
          <w:rFonts w:ascii="Palatino Linotype" w:eastAsiaTheme="minorEastAsia" w:hAnsi="Palatino Linotype" w:cs="Times New Roman"/>
          <w:color w:val="000000"/>
          <w:lang w:val="id-ID"/>
        </w:rPr>
        <w:t>. (2020). </w:t>
      </w:r>
      <w:r w:rsidRPr="007A4984">
        <w:rPr>
          <w:rFonts w:ascii="Palatino Linotype" w:eastAsiaTheme="minorEastAsia" w:hAnsi="Palatino Linotype" w:cs="Times New Roman"/>
          <w:color w:val="000000"/>
          <w:lang w:val="id-ID"/>
        </w:rPr>
        <w:t xml:space="preserve">Konsep </w:t>
      </w:r>
      <w:r w:rsidR="00480D23" w:rsidRPr="007A4984">
        <w:rPr>
          <w:rFonts w:ascii="Palatino Linotype" w:eastAsiaTheme="minorEastAsia" w:hAnsi="Palatino Linotype" w:cs="Times New Roman"/>
          <w:color w:val="000000"/>
          <w:lang w:val="id-ID"/>
        </w:rPr>
        <w:t xml:space="preserve">Dasar Kemiskinan Dan Strategi Pemberdayaan Masyarakat. </w:t>
      </w:r>
      <w:r w:rsidRPr="007A4984">
        <w:rPr>
          <w:rFonts w:ascii="Palatino Linotype" w:eastAsiaTheme="minorEastAsia" w:hAnsi="Palatino Linotype" w:cs="Times New Roman"/>
          <w:color w:val="000000"/>
          <w:lang w:val="id-ID"/>
        </w:rPr>
        <w:t>PT Nasya Expanding</w:t>
      </w:r>
      <w:r w:rsidR="00480D23" w:rsidRPr="007A4984">
        <w:rPr>
          <w:rFonts w:ascii="Palatino Linotype" w:eastAsiaTheme="minorEastAsia" w:hAnsi="Palatino Linotype" w:cs="Times New Roman"/>
          <w:color w:val="000000"/>
          <w:lang w:val="id-ID"/>
        </w:rPr>
        <w:t>.</w:t>
      </w:r>
    </w:p>
    <w:p w14:paraId="149AE201" w14:textId="07E2A731"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Puspitasari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L</w:t>
      </w:r>
      <w:r w:rsidR="00480D23" w:rsidRPr="007A4984">
        <w:rPr>
          <w:rFonts w:ascii="Palatino Linotype" w:eastAsiaTheme="minorEastAsia" w:hAnsi="Palatino Linotype" w:cs="Times New Roman"/>
          <w:color w:val="000000"/>
          <w:lang w:val="id-ID"/>
        </w:rPr>
        <w:t xml:space="preserve">. (2020).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 xml:space="preserve">Faktor Sosial Ekonomi Terhadap Kemiskinan Di </w:t>
      </w:r>
      <w:r w:rsidRPr="007A4984">
        <w:rPr>
          <w:rFonts w:ascii="Palatino Linotype" w:eastAsiaTheme="minorEastAsia" w:hAnsi="Palatino Linotype" w:cs="Times New Roman"/>
          <w:color w:val="000000"/>
          <w:lang w:val="id-ID"/>
        </w:rPr>
        <w:t>Sumatera</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Jurnal Ekonomi Dan Kebijakan Publik</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9</w:t>
      </w:r>
      <w:r w:rsidR="00480D23" w:rsidRPr="007A4984">
        <w:rPr>
          <w:rFonts w:ascii="Palatino Linotype" w:eastAsiaTheme="minorEastAsia" w:hAnsi="Palatino Linotype" w:cs="Times New Roman"/>
          <w:color w:val="000000"/>
          <w:lang w:val="id-ID"/>
        </w:rPr>
        <w:t>(3), 201–214.</w:t>
      </w:r>
    </w:p>
    <w:p w14:paraId="14DD0A78" w14:textId="3E52983E"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Putra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Sari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D</w:t>
      </w:r>
      <w:r w:rsidR="00480D23" w:rsidRPr="007A4984">
        <w:rPr>
          <w:rFonts w:ascii="Palatino Linotype" w:eastAsiaTheme="minorEastAsia" w:hAnsi="Palatino Linotype" w:cs="Times New Roman"/>
          <w:color w:val="000000"/>
          <w:lang w:val="id-ID"/>
        </w:rPr>
        <w:t xml:space="preserve">. (2021). </w:t>
      </w:r>
      <w:r w:rsidRPr="007A4984">
        <w:rPr>
          <w:rFonts w:ascii="Palatino Linotype" w:eastAsiaTheme="minorEastAsia" w:hAnsi="Palatino Linotype" w:cs="Times New Roman"/>
          <w:color w:val="000000"/>
          <w:lang w:val="id-ID"/>
        </w:rPr>
        <w:t xml:space="preserve">Determinan </w:t>
      </w:r>
      <w:r w:rsidR="00480D23" w:rsidRPr="007A4984">
        <w:rPr>
          <w:rFonts w:ascii="Palatino Linotype" w:eastAsiaTheme="minorEastAsia" w:hAnsi="Palatino Linotype" w:cs="Times New Roman"/>
          <w:color w:val="000000"/>
          <w:lang w:val="id-ID"/>
        </w:rPr>
        <w:t xml:space="preserve">Kemiskinan Di </w:t>
      </w:r>
      <w:r w:rsidRPr="007A4984">
        <w:rPr>
          <w:rFonts w:ascii="Palatino Linotype" w:eastAsiaTheme="minorEastAsia" w:hAnsi="Palatino Linotype" w:cs="Times New Roman"/>
          <w:color w:val="000000"/>
          <w:lang w:val="id-ID"/>
        </w:rPr>
        <w:t>Indonesia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 xml:space="preserve">Pendekatan </w:t>
      </w:r>
      <w:r w:rsidR="00480D23" w:rsidRPr="007A4984">
        <w:rPr>
          <w:rFonts w:ascii="Palatino Linotype" w:eastAsiaTheme="minorEastAsia" w:hAnsi="Palatino Linotype" w:cs="Times New Roman"/>
          <w:color w:val="000000"/>
          <w:lang w:val="id-ID"/>
        </w:rPr>
        <w:t>Data Panel. </w:t>
      </w:r>
      <w:r w:rsidRPr="007A4984">
        <w:rPr>
          <w:rFonts w:ascii="Palatino Linotype" w:eastAsiaTheme="minorEastAsia" w:hAnsi="Palatino Linotype" w:cs="Times New Roman"/>
          <w:i/>
          <w:iCs/>
          <w:color w:val="000000"/>
          <w:lang w:val="id-ID"/>
        </w:rPr>
        <w:t>Jurnal Ekonomi Dan Pembangunan Indonesia</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21</w:t>
      </w:r>
      <w:r w:rsidR="00480D23" w:rsidRPr="007A4984">
        <w:rPr>
          <w:rFonts w:ascii="Palatino Linotype" w:eastAsiaTheme="minorEastAsia" w:hAnsi="Palatino Linotype" w:cs="Times New Roman"/>
          <w:color w:val="000000"/>
          <w:lang w:val="id-ID"/>
        </w:rPr>
        <w:t>(1), 1–15.</w:t>
      </w:r>
    </w:p>
    <w:p w14:paraId="7EE769B8" w14:textId="1B1B667C"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Rahmani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(2021). </w:t>
      </w:r>
      <w:r w:rsidRPr="007A4984">
        <w:rPr>
          <w:rFonts w:ascii="Palatino Linotype" w:eastAsiaTheme="minorEastAsia" w:hAnsi="Palatino Linotype" w:cs="Times New Roman"/>
          <w:color w:val="000000"/>
          <w:lang w:val="id-ID"/>
        </w:rPr>
        <w:t xml:space="preserve">Pengaruh </w:t>
      </w:r>
      <w:r w:rsidR="00480D23" w:rsidRPr="007A4984">
        <w:rPr>
          <w:rFonts w:ascii="Palatino Linotype" w:eastAsiaTheme="minorEastAsia" w:hAnsi="Palatino Linotype" w:cs="Times New Roman"/>
          <w:color w:val="000000"/>
          <w:lang w:val="id-ID"/>
        </w:rPr>
        <w:t xml:space="preserve">Gender Ratio, Dependency Ratio, Dan Tingkat Partisipasi Angkatan Kerja Perempuan Terhadap Kemiskinan Di </w:t>
      </w:r>
      <w:r w:rsidRPr="007A4984">
        <w:rPr>
          <w:rFonts w:ascii="Palatino Linotype" w:eastAsiaTheme="minorEastAsia" w:hAnsi="Palatino Linotype" w:cs="Times New Roman"/>
          <w:color w:val="000000"/>
          <w:lang w:val="id-ID"/>
        </w:rPr>
        <w:t xml:space="preserve">Provinsi Nusa Tenggara Barat </w:t>
      </w:r>
      <w:r w:rsidR="00480D23" w:rsidRPr="007A4984">
        <w:rPr>
          <w:rFonts w:ascii="Palatino Linotype" w:eastAsiaTheme="minorEastAsia" w:hAnsi="Palatino Linotype" w:cs="Times New Roman"/>
          <w:color w:val="000000"/>
          <w:lang w:val="id-ID"/>
        </w:rPr>
        <w:t>Tahun 2010-2017. </w:t>
      </w:r>
      <w:r w:rsidRPr="007A4984">
        <w:rPr>
          <w:rFonts w:ascii="Palatino Linotype" w:eastAsiaTheme="minorEastAsia" w:hAnsi="Palatino Linotype" w:cs="Times New Roman"/>
          <w:i/>
          <w:iCs/>
          <w:color w:val="000000"/>
          <w:lang w:val="id-ID"/>
        </w:rPr>
        <w:t>Jurnal Ilmiah Universitas Brawijaya</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(1), 1–11.</w:t>
      </w:r>
    </w:p>
    <w:p w14:paraId="0ECFA6AB" w14:textId="127014BB"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Roseline</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F</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C</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Maimunah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E</w:t>
      </w:r>
      <w:r w:rsidR="00480D23" w:rsidRPr="007A4984">
        <w:rPr>
          <w:rFonts w:ascii="Palatino Linotype" w:eastAsiaTheme="minorEastAsia" w:hAnsi="Palatino Linotype" w:cs="Times New Roman"/>
          <w:color w:val="000000"/>
          <w:lang w:val="id-ID"/>
        </w:rPr>
        <w:t xml:space="preserve">. (2022).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 xml:space="preserve">Pengaruh </w:t>
      </w:r>
      <w:r w:rsidRPr="007A4984">
        <w:rPr>
          <w:rFonts w:ascii="Palatino Linotype" w:eastAsiaTheme="minorEastAsia" w:hAnsi="Palatino Linotype" w:cs="Times New Roman"/>
          <w:color w:val="000000"/>
          <w:lang w:val="id-ID"/>
        </w:rPr>
        <w:t xml:space="preserve">PDRB </w:t>
      </w:r>
      <w:r w:rsidR="00480D23" w:rsidRPr="007A4984">
        <w:rPr>
          <w:rFonts w:ascii="Palatino Linotype" w:eastAsiaTheme="minorEastAsia" w:hAnsi="Palatino Linotype" w:cs="Times New Roman"/>
          <w:color w:val="000000"/>
          <w:lang w:val="id-ID"/>
        </w:rPr>
        <w:t>Perkapita, Tingkat Pengangguran Terbuka (</w:t>
      </w:r>
      <w:r w:rsidRPr="007A4984">
        <w:rPr>
          <w:rFonts w:ascii="Palatino Linotype" w:eastAsiaTheme="minorEastAsia" w:hAnsi="Palatino Linotype" w:cs="Times New Roman"/>
          <w:color w:val="000000"/>
          <w:lang w:val="id-ID"/>
        </w:rPr>
        <w:t>TPT</w:t>
      </w:r>
      <w:r w:rsidR="00480D23" w:rsidRPr="007A4984">
        <w:rPr>
          <w:rFonts w:ascii="Palatino Linotype" w:eastAsiaTheme="minorEastAsia" w:hAnsi="Palatino Linotype" w:cs="Times New Roman"/>
          <w:color w:val="000000"/>
          <w:lang w:val="id-ID"/>
        </w:rPr>
        <w:t>), Dan Indeks Pembangunan Manusia (</w:t>
      </w:r>
      <w:r w:rsidRPr="007A4984">
        <w:rPr>
          <w:rFonts w:ascii="Palatino Linotype" w:eastAsiaTheme="minorEastAsia" w:hAnsi="Palatino Linotype" w:cs="Times New Roman"/>
          <w:color w:val="000000"/>
          <w:lang w:val="id-ID"/>
        </w:rPr>
        <w:t>IPM</w:t>
      </w:r>
      <w:r w:rsidR="00480D23" w:rsidRPr="007A4984">
        <w:rPr>
          <w:rFonts w:ascii="Palatino Linotype" w:eastAsiaTheme="minorEastAsia" w:hAnsi="Palatino Linotype" w:cs="Times New Roman"/>
          <w:color w:val="000000"/>
          <w:lang w:val="id-ID"/>
        </w:rPr>
        <w:t xml:space="preserve">) Terhadap Tingkat Kemiskinan Di </w:t>
      </w:r>
      <w:r w:rsidRPr="007A4984">
        <w:rPr>
          <w:rFonts w:ascii="Palatino Linotype" w:eastAsiaTheme="minorEastAsia" w:hAnsi="Palatino Linotype" w:cs="Times New Roman"/>
          <w:color w:val="000000"/>
          <w:lang w:val="id-ID"/>
        </w:rPr>
        <w:t>Provinsi Lampung</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Cakrawala Repositori IMWI</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5</w:t>
      </w:r>
      <w:r w:rsidR="00480D23" w:rsidRPr="007A4984">
        <w:rPr>
          <w:rFonts w:ascii="Palatino Linotype" w:eastAsiaTheme="minorEastAsia" w:hAnsi="Palatino Linotype" w:cs="Times New Roman"/>
          <w:color w:val="000000"/>
          <w:lang w:val="id-ID"/>
        </w:rPr>
        <w:t>(2), 227–240.</w:t>
      </w:r>
    </w:p>
    <w:p w14:paraId="4F39941C" w14:textId="2F035D2A"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Salsabila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Y</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Imanigsih</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N</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Wijaya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S</w:t>
      </w:r>
      <w:r w:rsidR="00480D23" w:rsidRPr="007A4984">
        <w:rPr>
          <w:rFonts w:ascii="Palatino Linotype" w:eastAsiaTheme="minorEastAsia" w:hAnsi="Palatino Linotype" w:cs="Times New Roman"/>
          <w:color w:val="000000"/>
          <w:lang w:val="id-ID"/>
        </w:rPr>
        <w:t xml:space="preserve">. (2021). </w:t>
      </w:r>
      <w:r w:rsidRPr="007A4984">
        <w:rPr>
          <w:rFonts w:ascii="Palatino Linotype" w:eastAsiaTheme="minorEastAsia" w:hAnsi="Palatino Linotype" w:cs="Times New Roman"/>
          <w:color w:val="000000"/>
          <w:lang w:val="id-ID"/>
        </w:rPr>
        <w:t xml:space="preserve">Pengaruh </w:t>
      </w:r>
      <w:r w:rsidR="00480D23" w:rsidRPr="007A4984">
        <w:rPr>
          <w:rFonts w:ascii="Palatino Linotype" w:eastAsiaTheme="minorEastAsia" w:hAnsi="Palatino Linotype" w:cs="Times New Roman"/>
          <w:color w:val="000000"/>
          <w:lang w:val="id-ID"/>
        </w:rPr>
        <w:t xml:space="preserve">Jumlah Penduduk, Jumlah Pengangguran Dan Tingkat Pendidikan Terhadap Pertumbuhan Ekonomi Di Wilayah </w:t>
      </w:r>
      <w:r w:rsidRPr="007A4984">
        <w:rPr>
          <w:rFonts w:ascii="Palatino Linotype" w:eastAsiaTheme="minorEastAsia" w:hAnsi="Palatino Linotype" w:cs="Times New Roman"/>
          <w:color w:val="000000"/>
          <w:lang w:val="id-ID"/>
        </w:rPr>
        <w:t>Gerbang Kertosusila</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Jurnal Ekonomi Pembangunan STIE Muhammadiyah Palopo</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7</w:t>
      </w:r>
      <w:r w:rsidR="00480D23" w:rsidRPr="007A4984">
        <w:rPr>
          <w:rFonts w:ascii="Palatino Linotype" w:eastAsiaTheme="minorEastAsia" w:hAnsi="Palatino Linotype" w:cs="Times New Roman"/>
          <w:color w:val="000000"/>
          <w:lang w:val="id-ID"/>
        </w:rPr>
        <w:t>(1)</w:t>
      </w:r>
    </w:p>
    <w:p w14:paraId="6EF3D388" w14:textId="0340A1BC"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Sianturi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F</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Tampubolon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Hidayat</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Nasution</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M</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D</w:t>
      </w:r>
      <w:r w:rsidR="00480D23" w:rsidRPr="007A4984">
        <w:rPr>
          <w:rFonts w:ascii="Palatino Linotype" w:eastAsiaTheme="minorEastAsia" w:hAnsi="Palatino Linotype" w:cs="Times New Roman"/>
          <w:color w:val="000000"/>
          <w:lang w:val="id-ID"/>
        </w:rPr>
        <w:t xml:space="preserve">., &amp; </w:t>
      </w:r>
      <w:r w:rsidRPr="007A4984">
        <w:rPr>
          <w:rFonts w:ascii="Palatino Linotype" w:eastAsiaTheme="minorEastAsia" w:hAnsi="Palatino Linotype" w:cs="Times New Roman"/>
          <w:color w:val="000000"/>
          <w:lang w:val="id-ID"/>
        </w:rPr>
        <w:t>Sianturi</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(2024). </w:t>
      </w:r>
      <w:r w:rsidRPr="007A4984">
        <w:rPr>
          <w:rFonts w:ascii="Palatino Linotype" w:eastAsiaTheme="minorEastAsia" w:hAnsi="Palatino Linotype" w:cs="Times New Roman"/>
          <w:color w:val="000000"/>
          <w:lang w:val="id-ID"/>
        </w:rPr>
        <w:t xml:space="preserve">Pengaruh </w:t>
      </w:r>
      <w:r w:rsidR="00480D23" w:rsidRPr="007A4984">
        <w:rPr>
          <w:rFonts w:ascii="Palatino Linotype" w:eastAsiaTheme="minorEastAsia" w:hAnsi="Palatino Linotype" w:cs="Times New Roman"/>
          <w:color w:val="000000"/>
          <w:lang w:val="id-ID"/>
        </w:rPr>
        <w:t>Partisipasi Angkatan Kerja (</w:t>
      </w:r>
      <w:r w:rsidRPr="007A4984">
        <w:rPr>
          <w:rFonts w:ascii="Palatino Linotype" w:eastAsiaTheme="minorEastAsia" w:hAnsi="Palatino Linotype" w:cs="Times New Roman"/>
          <w:color w:val="000000"/>
          <w:lang w:val="id-ID"/>
        </w:rPr>
        <w:t>TPAK</w:t>
      </w:r>
      <w:r w:rsidR="00480D23" w:rsidRPr="007A4984">
        <w:rPr>
          <w:rFonts w:ascii="Palatino Linotype" w:eastAsiaTheme="minorEastAsia" w:hAnsi="Palatino Linotype" w:cs="Times New Roman"/>
          <w:color w:val="000000"/>
          <w:lang w:val="id-ID"/>
        </w:rPr>
        <w:t xml:space="preserve">) Dan Jumlah Penduduk Terhadap Kemiskinan Di </w:t>
      </w:r>
      <w:r w:rsidRPr="007A4984">
        <w:rPr>
          <w:rFonts w:ascii="Palatino Linotype" w:eastAsiaTheme="minorEastAsia" w:hAnsi="Palatino Linotype" w:cs="Times New Roman"/>
          <w:color w:val="000000"/>
          <w:lang w:val="id-ID"/>
        </w:rPr>
        <w:t xml:space="preserve">Kota Medan </w:t>
      </w:r>
      <w:r w:rsidR="00480D23" w:rsidRPr="007A4984">
        <w:rPr>
          <w:rFonts w:ascii="Palatino Linotype" w:eastAsiaTheme="minorEastAsia" w:hAnsi="Palatino Linotype" w:cs="Times New Roman"/>
          <w:color w:val="000000"/>
          <w:lang w:val="id-ID"/>
        </w:rPr>
        <w:t>(2014-2023). </w:t>
      </w:r>
      <w:r w:rsidRPr="007A4984">
        <w:rPr>
          <w:rFonts w:ascii="Palatino Linotype" w:eastAsiaTheme="minorEastAsia" w:hAnsi="Palatino Linotype" w:cs="Times New Roman"/>
          <w:i/>
          <w:iCs/>
          <w:color w:val="000000"/>
          <w:lang w:val="id-ID"/>
        </w:rPr>
        <w:t>JALAKOTEK</w:t>
      </w:r>
      <w:r w:rsidR="00480D23" w:rsidRPr="007A4984">
        <w:rPr>
          <w:rFonts w:ascii="Palatino Linotype" w:eastAsiaTheme="minorEastAsia" w:hAnsi="Palatino Linotype" w:cs="Times New Roman"/>
          <w:i/>
          <w:iCs/>
          <w:color w:val="000000"/>
          <w:lang w:val="id-ID"/>
        </w:rPr>
        <w:t xml:space="preserve">: </w:t>
      </w:r>
      <w:r w:rsidRPr="007A4984">
        <w:rPr>
          <w:rFonts w:ascii="Palatino Linotype" w:eastAsiaTheme="minorEastAsia" w:hAnsi="Palatino Linotype" w:cs="Times New Roman"/>
          <w:i/>
          <w:iCs/>
          <w:color w:val="000000"/>
          <w:lang w:val="id-ID"/>
        </w:rPr>
        <w:t xml:space="preserve">Journal </w:t>
      </w:r>
      <w:r w:rsidR="00480D23" w:rsidRPr="007A4984">
        <w:rPr>
          <w:rFonts w:ascii="Palatino Linotype" w:eastAsiaTheme="minorEastAsia" w:hAnsi="Palatino Linotype" w:cs="Times New Roman"/>
          <w:i/>
          <w:iCs/>
          <w:color w:val="000000"/>
          <w:lang w:val="id-ID"/>
        </w:rPr>
        <w:t xml:space="preserve">Of </w:t>
      </w:r>
      <w:r w:rsidRPr="007A4984">
        <w:rPr>
          <w:rFonts w:ascii="Palatino Linotype" w:eastAsiaTheme="minorEastAsia" w:hAnsi="Palatino Linotype" w:cs="Times New Roman"/>
          <w:i/>
          <w:iCs/>
          <w:color w:val="000000"/>
          <w:lang w:val="id-ID"/>
        </w:rPr>
        <w:t xml:space="preserve">Accounting Law Communication </w:t>
      </w:r>
      <w:r w:rsidR="00480D23" w:rsidRPr="007A4984">
        <w:rPr>
          <w:rFonts w:ascii="Palatino Linotype" w:eastAsiaTheme="minorEastAsia" w:hAnsi="Palatino Linotype" w:cs="Times New Roman"/>
          <w:i/>
          <w:iCs/>
          <w:color w:val="000000"/>
          <w:lang w:val="id-ID"/>
        </w:rPr>
        <w:t xml:space="preserve">And </w:t>
      </w:r>
      <w:r w:rsidRPr="007A4984">
        <w:rPr>
          <w:rFonts w:ascii="Palatino Linotype" w:eastAsiaTheme="minorEastAsia" w:hAnsi="Palatino Linotype" w:cs="Times New Roman"/>
          <w:i/>
          <w:iCs/>
          <w:color w:val="000000"/>
          <w:lang w:val="id-ID"/>
        </w:rPr>
        <w:t>Technology</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(2), 739–750.</w:t>
      </w:r>
    </w:p>
    <w:p w14:paraId="1B06EEB0" w14:textId="229E8662"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Sutrisno</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Y</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R</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Z</w:t>
      </w:r>
      <w:r w:rsidR="00480D23" w:rsidRPr="007A4984">
        <w:rPr>
          <w:rFonts w:ascii="Palatino Linotype" w:eastAsiaTheme="minorEastAsia" w:hAnsi="Palatino Linotype" w:cs="Times New Roman"/>
          <w:color w:val="000000"/>
          <w:lang w:val="id-ID"/>
        </w:rPr>
        <w:t xml:space="preserve">. </w:t>
      </w:r>
      <w:r w:rsidRPr="007A4984">
        <w:rPr>
          <w:rFonts w:ascii="Palatino Linotype" w:eastAsiaTheme="minorEastAsia" w:hAnsi="Palatino Linotype" w:cs="Times New Roman"/>
          <w:color w:val="000000"/>
          <w:lang w:val="id-ID"/>
        </w:rPr>
        <w:t>A</w:t>
      </w:r>
      <w:r w:rsidR="00480D23" w:rsidRPr="007A4984">
        <w:rPr>
          <w:rFonts w:ascii="Palatino Linotype" w:eastAsiaTheme="minorEastAsia" w:hAnsi="Palatino Linotype" w:cs="Times New Roman"/>
          <w:color w:val="000000"/>
          <w:lang w:val="id-ID"/>
        </w:rPr>
        <w:t xml:space="preserve">. (2023). </w:t>
      </w:r>
      <w:r w:rsidRPr="007A4984">
        <w:rPr>
          <w:rFonts w:ascii="Palatino Linotype" w:eastAsiaTheme="minorEastAsia" w:hAnsi="Palatino Linotype" w:cs="Times New Roman"/>
          <w:color w:val="000000"/>
          <w:lang w:val="id-ID"/>
        </w:rPr>
        <w:t xml:space="preserve">Jurnal </w:t>
      </w:r>
      <w:r w:rsidR="00480D23" w:rsidRPr="007A4984">
        <w:rPr>
          <w:rFonts w:ascii="Palatino Linotype" w:eastAsiaTheme="minorEastAsia" w:hAnsi="Palatino Linotype" w:cs="Times New Roman"/>
          <w:color w:val="000000"/>
          <w:lang w:val="id-ID"/>
        </w:rPr>
        <w:t>Ilmu Ekonomi. </w:t>
      </w:r>
      <w:r w:rsidRPr="007A4984">
        <w:rPr>
          <w:rFonts w:ascii="Palatino Linotype" w:eastAsiaTheme="minorEastAsia" w:hAnsi="Palatino Linotype" w:cs="Times New Roman"/>
          <w:i/>
          <w:iCs/>
          <w:color w:val="000000"/>
          <w:lang w:val="id-ID"/>
        </w:rPr>
        <w:t>Jurnal Ilmu Ekonomi Terapan</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w:t>
      </w:r>
      <w:r w:rsidR="00480D23" w:rsidRPr="007A4984">
        <w:rPr>
          <w:rFonts w:ascii="Palatino Linotype" w:eastAsiaTheme="minorEastAsia" w:hAnsi="Palatino Linotype" w:cs="Times New Roman"/>
          <w:color w:val="000000"/>
          <w:lang w:val="id-ID"/>
        </w:rPr>
        <w:t>(2), 88–104.</w:t>
      </w:r>
    </w:p>
    <w:p w14:paraId="73FF872A" w14:textId="294CEB84" w:rsidR="0016745E" w:rsidRPr="007A4984" w:rsidRDefault="0016745E" w:rsidP="002866E5">
      <w:pPr>
        <w:spacing w:after="0" w:line="360" w:lineRule="auto"/>
        <w:ind w:left="720" w:hanging="720"/>
        <w:jc w:val="both"/>
        <w:divId w:val="184641964"/>
        <w:rPr>
          <w:rFonts w:ascii="Palatino Linotype" w:eastAsiaTheme="minorEastAsia" w:hAnsi="Palatino Linotype" w:cs="Times New Roman"/>
          <w:color w:val="000000"/>
          <w:lang w:val="id-ID"/>
        </w:rPr>
      </w:pPr>
      <w:r w:rsidRPr="007A4984">
        <w:rPr>
          <w:rFonts w:ascii="Palatino Linotype" w:eastAsiaTheme="minorEastAsia" w:hAnsi="Palatino Linotype" w:cs="Times New Roman"/>
          <w:color w:val="000000"/>
          <w:lang w:val="id-ID"/>
        </w:rPr>
        <w:t>Zulkarnain</w:t>
      </w:r>
      <w:r w:rsidR="00480D23" w:rsidRPr="007A4984">
        <w:rPr>
          <w:rFonts w:ascii="Palatino Linotype" w:eastAsiaTheme="minorEastAsia" w:hAnsi="Palatino Linotype" w:cs="Times New Roman"/>
          <w:color w:val="000000"/>
          <w:lang w:val="id-ID"/>
        </w:rPr>
        <w:t xml:space="preserve">. (2022). </w:t>
      </w:r>
      <w:r w:rsidRPr="007A4984">
        <w:rPr>
          <w:rFonts w:ascii="Palatino Linotype" w:eastAsiaTheme="minorEastAsia" w:hAnsi="Palatino Linotype" w:cs="Times New Roman"/>
          <w:color w:val="000000"/>
          <w:lang w:val="id-ID"/>
        </w:rPr>
        <w:t xml:space="preserve">Analisis </w:t>
      </w:r>
      <w:r w:rsidR="00480D23" w:rsidRPr="007A4984">
        <w:rPr>
          <w:rFonts w:ascii="Palatino Linotype" w:eastAsiaTheme="minorEastAsia" w:hAnsi="Palatino Linotype" w:cs="Times New Roman"/>
          <w:color w:val="000000"/>
          <w:lang w:val="id-ID"/>
        </w:rPr>
        <w:t xml:space="preserve">Faktor-Faktor Yang Mempengaruhi Kemiskinan Di </w:t>
      </w:r>
      <w:r w:rsidRPr="007A4984">
        <w:rPr>
          <w:rFonts w:ascii="Palatino Linotype" w:eastAsiaTheme="minorEastAsia" w:hAnsi="Palatino Linotype" w:cs="Times New Roman"/>
          <w:color w:val="000000"/>
          <w:lang w:val="id-ID"/>
        </w:rPr>
        <w:t>Provinsi Aceh</w:t>
      </w:r>
      <w:r w:rsidR="00480D23" w:rsidRPr="007A4984">
        <w:rPr>
          <w:rFonts w:ascii="Palatino Linotype" w:eastAsiaTheme="minorEastAsia" w:hAnsi="Palatino Linotype" w:cs="Times New Roman"/>
          <w:color w:val="000000"/>
          <w:lang w:val="id-ID"/>
        </w:rPr>
        <w:t>. </w:t>
      </w:r>
      <w:r w:rsidRPr="007A4984">
        <w:rPr>
          <w:rFonts w:ascii="Palatino Linotype" w:eastAsiaTheme="minorEastAsia" w:hAnsi="Palatino Linotype" w:cs="Times New Roman"/>
          <w:i/>
          <w:iCs/>
          <w:color w:val="000000"/>
          <w:lang w:val="id-ID"/>
        </w:rPr>
        <w:t>Jurnal Ekonomi Pembangunan</w:t>
      </w:r>
      <w:r w:rsidR="00480D23" w:rsidRPr="007A4984">
        <w:rPr>
          <w:rFonts w:ascii="Palatino Linotype" w:eastAsiaTheme="minorEastAsia" w:hAnsi="Palatino Linotype" w:cs="Times New Roman"/>
          <w:color w:val="000000"/>
          <w:lang w:val="id-ID"/>
        </w:rPr>
        <w:t>, </w:t>
      </w:r>
      <w:r w:rsidR="00480D23" w:rsidRPr="007A4984">
        <w:rPr>
          <w:rFonts w:ascii="Palatino Linotype" w:eastAsiaTheme="minorEastAsia" w:hAnsi="Palatino Linotype" w:cs="Times New Roman"/>
          <w:i/>
          <w:iCs/>
          <w:color w:val="000000"/>
          <w:lang w:val="id-ID"/>
        </w:rPr>
        <w:t>13</w:t>
      </w:r>
      <w:r w:rsidR="00480D23" w:rsidRPr="007A4984">
        <w:rPr>
          <w:rFonts w:ascii="Palatino Linotype" w:eastAsiaTheme="minorEastAsia" w:hAnsi="Palatino Linotype" w:cs="Times New Roman"/>
          <w:color w:val="000000"/>
          <w:lang w:val="id-ID"/>
        </w:rPr>
        <w:t>(2), 145–158.</w:t>
      </w:r>
    </w:p>
    <w:p w14:paraId="2C16B390" w14:textId="77777777" w:rsidR="007E447C" w:rsidRPr="007A4984" w:rsidRDefault="007E447C" w:rsidP="00124A97">
      <w:pPr>
        <w:widowControl w:val="0"/>
        <w:autoSpaceDE w:val="0"/>
        <w:autoSpaceDN w:val="0"/>
        <w:adjustRightInd w:val="0"/>
        <w:spacing w:after="0" w:line="360" w:lineRule="auto"/>
        <w:ind w:left="1200" w:hanging="720"/>
        <w:jc w:val="both"/>
        <w:rPr>
          <w:rFonts w:ascii="Palatino Linotype" w:hAnsi="Palatino Linotype" w:cs="Times New Roman"/>
          <w:noProof/>
          <w:lang w:val="id-ID"/>
        </w:rPr>
      </w:pPr>
    </w:p>
    <w:sectPr w:rsidR="007E447C" w:rsidRPr="007A4984" w:rsidSect="00CE5B54">
      <w:headerReference w:type="first" r:id="rId17"/>
      <w:footerReference w:type="first" r:id="rId18"/>
      <w:type w:val="continuous"/>
      <w:pgSz w:w="11907" w:h="16839" w:code="9"/>
      <w:pgMar w:top="1296" w:right="1296" w:bottom="1296" w:left="1296" w:header="720" w:footer="720" w:gutter="0"/>
      <w:pgNumType w:start="69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A4596" w14:textId="77777777" w:rsidR="00C21E54" w:rsidRDefault="00C21E54" w:rsidP="00D62DD5">
      <w:pPr>
        <w:spacing w:after="0" w:line="240" w:lineRule="auto"/>
      </w:pPr>
      <w:r>
        <w:separator/>
      </w:r>
    </w:p>
  </w:endnote>
  <w:endnote w:type="continuationSeparator" w:id="0">
    <w:p w14:paraId="0B156BFC" w14:textId="77777777" w:rsidR="00C21E54" w:rsidRDefault="00C21E54"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ppleSystemUIFont">
    <w:altName w:val="Cambria"/>
    <w:charset w:val="00"/>
    <w:family w:val="roman"/>
    <w:pitch w:val="default"/>
  </w:font>
  <w:font w:name="UICTFontTextStyleItalicBody">
    <w:altName w:val="Cambria"/>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123C" w14:textId="206696F8" w:rsidR="004D0FDC" w:rsidRPr="008B4A68" w:rsidRDefault="004D0FDC">
    <w:pPr>
      <w:pStyle w:val="Footer"/>
      <w:jc w:val="right"/>
      <w:rPr>
        <w:rFonts w:ascii="Palatino Linotype" w:hAnsi="Palatino Linotype"/>
      </w:rPr>
    </w:pPr>
  </w:p>
  <w:p w14:paraId="1F644A09" w14:textId="77777777" w:rsidR="004D0FDC" w:rsidRDefault="004D0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C4B9" w14:textId="77777777" w:rsidR="00C21E54" w:rsidRDefault="00C21E54" w:rsidP="00D62DD5">
      <w:pPr>
        <w:spacing w:after="0" w:line="240" w:lineRule="auto"/>
      </w:pPr>
      <w:r>
        <w:separator/>
      </w:r>
    </w:p>
  </w:footnote>
  <w:footnote w:type="continuationSeparator" w:id="0">
    <w:p w14:paraId="6CC137B7" w14:textId="77777777" w:rsidR="00C21E54" w:rsidRDefault="00C21E54" w:rsidP="00D62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7DA6" w14:textId="77699803" w:rsidR="004D0FDC" w:rsidRPr="009E3257" w:rsidRDefault="004D0FDC" w:rsidP="009E3257">
    <w:pPr>
      <w:pStyle w:val="Header"/>
      <w:jc w:val="center"/>
      <w:rPr>
        <w:color w:val="0000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B657DE"/>
    <w:multiLevelType w:val="hybridMultilevel"/>
    <w:tmpl w:val="F3F6D79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95126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9BA"/>
    <w:rsid w:val="0000088A"/>
    <w:rsid w:val="0000225A"/>
    <w:rsid w:val="0001031F"/>
    <w:rsid w:val="000105F0"/>
    <w:rsid w:val="000107AE"/>
    <w:rsid w:val="00010CD5"/>
    <w:rsid w:val="00010DE6"/>
    <w:rsid w:val="0001131C"/>
    <w:rsid w:val="00012E02"/>
    <w:rsid w:val="000156E7"/>
    <w:rsid w:val="000165D1"/>
    <w:rsid w:val="000168C4"/>
    <w:rsid w:val="00016D6D"/>
    <w:rsid w:val="00020035"/>
    <w:rsid w:val="00022708"/>
    <w:rsid w:val="0002667C"/>
    <w:rsid w:val="00026BF3"/>
    <w:rsid w:val="00027A73"/>
    <w:rsid w:val="0003137C"/>
    <w:rsid w:val="00035025"/>
    <w:rsid w:val="000378D3"/>
    <w:rsid w:val="00037C6D"/>
    <w:rsid w:val="00037C90"/>
    <w:rsid w:val="000405B9"/>
    <w:rsid w:val="000417D8"/>
    <w:rsid w:val="00043D47"/>
    <w:rsid w:val="00051452"/>
    <w:rsid w:val="000514BF"/>
    <w:rsid w:val="00051DA6"/>
    <w:rsid w:val="00052D1E"/>
    <w:rsid w:val="0005336A"/>
    <w:rsid w:val="00053657"/>
    <w:rsid w:val="00053931"/>
    <w:rsid w:val="00056897"/>
    <w:rsid w:val="000569D0"/>
    <w:rsid w:val="000576B7"/>
    <w:rsid w:val="00060F79"/>
    <w:rsid w:val="00061E98"/>
    <w:rsid w:val="000630AD"/>
    <w:rsid w:val="00063A42"/>
    <w:rsid w:val="000640AA"/>
    <w:rsid w:val="00065BA8"/>
    <w:rsid w:val="00066238"/>
    <w:rsid w:val="00067C4A"/>
    <w:rsid w:val="000708EA"/>
    <w:rsid w:val="00074BA0"/>
    <w:rsid w:val="00080E33"/>
    <w:rsid w:val="00081551"/>
    <w:rsid w:val="000833A7"/>
    <w:rsid w:val="00084358"/>
    <w:rsid w:val="00084F60"/>
    <w:rsid w:val="0008521E"/>
    <w:rsid w:val="00085FBC"/>
    <w:rsid w:val="000860AB"/>
    <w:rsid w:val="00087B4E"/>
    <w:rsid w:val="00090244"/>
    <w:rsid w:val="0009524B"/>
    <w:rsid w:val="00096E05"/>
    <w:rsid w:val="00097B3C"/>
    <w:rsid w:val="000A2DC4"/>
    <w:rsid w:val="000A34D5"/>
    <w:rsid w:val="000A3569"/>
    <w:rsid w:val="000A3787"/>
    <w:rsid w:val="000A5A9B"/>
    <w:rsid w:val="000A768D"/>
    <w:rsid w:val="000B0B5E"/>
    <w:rsid w:val="000B236B"/>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E2173"/>
    <w:rsid w:val="000F0E38"/>
    <w:rsid w:val="000F1AC0"/>
    <w:rsid w:val="000F20B9"/>
    <w:rsid w:val="000F52FD"/>
    <w:rsid w:val="001004AE"/>
    <w:rsid w:val="001004FD"/>
    <w:rsid w:val="001006EB"/>
    <w:rsid w:val="001024EE"/>
    <w:rsid w:val="001053D1"/>
    <w:rsid w:val="00105616"/>
    <w:rsid w:val="00105B61"/>
    <w:rsid w:val="00106471"/>
    <w:rsid w:val="0010719A"/>
    <w:rsid w:val="00110280"/>
    <w:rsid w:val="00114106"/>
    <w:rsid w:val="00115063"/>
    <w:rsid w:val="0011694F"/>
    <w:rsid w:val="00120544"/>
    <w:rsid w:val="0012073D"/>
    <w:rsid w:val="001212E2"/>
    <w:rsid w:val="00121D1D"/>
    <w:rsid w:val="0012454F"/>
    <w:rsid w:val="001249A6"/>
    <w:rsid w:val="00124A97"/>
    <w:rsid w:val="0012744C"/>
    <w:rsid w:val="00127508"/>
    <w:rsid w:val="00127EFE"/>
    <w:rsid w:val="00131E19"/>
    <w:rsid w:val="0013307D"/>
    <w:rsid w:val="001336DD"/>
    <w:rsid w:val="00134891"/>
    <w:rsid w:val="00134A12"/>
    <w:rsid w:val="00136138"/>
    <w:rsid w:val="001366CA"/>
    <w:rsid w:val="00137922"/>
    <w:rsid w:val="00137B63"/>
    <w:rsid w:val="001414D0"/>
    <w:rsid w:val="00142A16"/>
    <w:rsid w:val="00143494"/>
    <w:rsid w:val="00145AD2"/>
    <w:rsid w:val="00147FCD"/>
    <w:rsid w:val="00150687"/>
    <w:rsid w:val="001539DB"/>
    <w:rsid w:val="00155929"/>
    <w:rsid w:val="00157481"/>
    <w:rsid w:val="001602A1"/>
    <w:rsid w:val="001614C3"/>
    <w:rsid w:val="001641CD"/>
    <w:rsid w:val="00164A2D"/>
    <w:rsid w:val="001657CC"/>
    <w:rsid w:val="0016745E"/>
    <w:rsid w:val="001701E5"/>
    <w:rsid w:val="001710CB"/>
    <w:rsid w:val="00174122"/>
    <w:rsid w:val="001752DE"/>
    <w:rsid w:val="0017549E"/>
    <w:rsid w:val="001769DC"/>
    <w:rsid w:val="0018039C"/>
    <w:rsid w:val="00181664"/>
    <w:rsid w:val="00181E9B"/>
    <w:rsid w:val="00182AB5"/>
    <w:rsid w:val="00182AC8"/>
    <w:rsid w:val="00186375"/>
    <w:rsid w:val="00187205"/>
    <w:rsid w:val="001875AF"/>
    <w:rsid w:val="00191052"/>
    <w:rsid w:val="00192487"/>
    <w:rsid w:val="00194004"/>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1001"/>
    <w:rsid w:val="001C6BF0"/>
    <w:rsid w:val="001D0B81"/>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6C13"/>
    <w:rsid w:val="001F7984"/>
    <w:rsid w:val="00202802"/>
    <w:rsid w:val="002038B6"/>
    <w:rsid w:val="00207DA9"/>
    <w:rsid w:val="00211046"/>
    <w:rsid w:val="002118DA"/>
    <w:rsid w:val="0021263C"/>
    <w:rsid w:val="0021278A"/>
    <w:rsid w:val="0021287A"/>
    <w:rsid w:val="00214074"/>
    <w:rsid w:val="00215950"/>
    <w:rsid w:val="002162C9"/>
    <w:rsid w:val="00221CD1"/>
    <w:rsid w:val="00223040"/>
    <w:rsid w:val="00223230"/>
    <w:rsid w:val="002237E6"/>
    <w:rsid w:val="00224222"/>
    <w:rsid w:val="0022644D"/>
    <w:rsid w:val="00230EE1"/>
    <w:rsid w:val="00232489"/>
    <w:rsid w:val="00235A25"/>
    <w:rsid w:val="00235B90"/>
    <w:rsid w:val="00235CAA"/>
    <w:rsid w:val="0024024E"/>
    <w:rsid w:val="002416F8"/>
    <w:rsid w:val="00242898"/>
    <w:rsid w:val="002443F9"/>
    <w:rsid w:val="00244B84"/>
    <w:rsid w:val="00245325"/>
    <w:rsid w:val="0024637A"/>
    <w:rsid w:val="0024648C"/>
    <w:rsid w:val="0024753C"/>
    <w:rsid w:val="002500CC"/>
    <w:rsid w:val="00252CA0"/>
    <w:rsid w:val="00253436"/>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651"/>
    <w:rsid w:val="00285C44"/>
    <w:rsid w:val="002864D7"/>
    <w:rsid w:val="002866E5"/>
    <w:rsid w:val="00287808"/>
    <w:rsid w:val="00287855"/>
    <w:rsid w:val="00290650"/>
    <w:rsid w:val="00290E7F"/>
    <w:rsid w:val="00291BA1"/>
    <w:rsid w:val="0029303E"/>
    <w:rsid w:val="00294942"/>
    <w:rsid w:val="00295917"/>
    <w:rsid w:val="002976A8"/>
    <w:rsid w:val="00297712"/>
    <w:rsid w:val="002A018D"/>
    <w:rsid w:val="002A0939"/>
    <w:rsid w:val="002A13E4"/>
    <w:rsid w:val="002A1547"/>
    <w:rsid w:val="002A270D"/>
    <w:rsid w:val="002A4121"/>
    <w:rsid w:val="002A523B"/>
    <w:rsid w:val="002A5249"/>
    <w:rsid w:val="002A5EF5"/>
    <w:rsid w:val="002A6851"/>
    <w:rsid w:val="002A6AB6"/>
    <w:rsid w:val="002A7889"/>
    <w:rsid w:val="002B260B"/>
    <w:rsid w:val="002B284F"/>
    <w:rsid w:val="002B2BD3"/>
    <w:rsid w:val="002B6D4B"/>
    <w:rsid w:val="002C0103"/>
    <w:rsid w:val="002C0497"/>
    <w:rsid w:val="002C1686"/>
    <w:rsid w:val="002C1A52"/>
    <w:rsid w:val="002C28EB"/>
    <w:rsid w:val="002C5FF0"/>
    <w:rsid w:val="002D425C"/>
    <w:rsid w:val="002D62F0"/>
    <w:rsid w:val="002E05C7"/>
    <w:rsid w:val="002E0A5F"/>
    <w:rsid w:val="002E2C62"/>
    <w:rsid w:val="002E378D"/>
    <w:rsid w:val="002E3E1F"/>
    <w:rsid w:val="002E3F87"/>
    <w:rsid w:val="002E774E"/>
    <w:rsid w:val="002F01D9"/>
    <w:rsid w:val="002F15E1"/>
    <w:rsid w:val="002F2630"/>
    <w:rsid w:val="002F75E0"/>
    <w:rsid w:val="00300261"/>
    <w:rsid w:val="003009A1"/>
    <w:rsid w:val="00300B4D"/>
    <w:rsid w:val="00300FD5"/>
    <w:rsid w:val="00304366"/>
    <w:rsid w:val="00304F00"/>
    <w:rsid w:val="003055A7"/>
    <w:rsid w:val="003076C1"/>
    <w:rsid w:val="00310158"/>
    <w:rsid w:val="00310C2A"/>
    <w:rsid w:val="00311642"/>
    <w:rsid w:val="00311747"/>
    <w:rsid w:val="00311A2C"/>
    <w:rsid w:val="00313797"/>
    <w:rsid w:val="00314162"/>
    <w:rsid w:val="00314CA2"/>
    <w:rsid w:val="00315868"/>
    <w:rsid w:val="00316686"/>
    <w:rsid w:val="0031677D"/>
    <w:rsid w:val="00317BC3"/>
    <w:rsid w:val="00320C3D"/>
    <w:rsid w:val="00321576"/>
    <w:rsid w:val="003216DB"/>
    <w:rsid w:val="00321E28"/>
    <w:rsid w:val="00322602"/>
    <w:rsid w:val="00324607"/>
    <w:rsid w:val="00326B38"/>
    <w:rsid w:val="00326BFC"/>
    <w:rsid w:val="003271DF"/>
    <w:rsid w:val="003317AE"/>
    <w:rsid w:val="00331BD8"/>
    <w:rsid w:val="00332987"/>
    <w:rsid w:val="00335331"/>
    <w:rsid w:val="00336D2C"/>
    <w:rsid w:val="003378B5"/>
    <w:rsid w:val="00337E35"/>
    <w:rsid w:val="003402E6"/>
    <w:rsid w:val="003414EF"/>
    <w:rsid w:val="00341E32"/>
    <w:rsid w:val="00344EAC"/>
    <w:rsid w:val="0035054B"/>
    <w:rsid w:val="00350820"/>
    <w:rsid w:val="003523B2"/>
    <w:rsid w:val="00352BCC"/>
    <w:rsid w:val="00353A61"/>
    <w:rsid w:val="00354448"/>
    <w:rsid w:val="00354D8D"/>
    <w:rsid w:val="00354FEE"/>
    <w:rsid w:val="003557EC"/>
    <w:rsid w:val="003562F4"/>
    <w:rsid w:val="003563E9"/>
    <w:rsid w:val="00357868"/>
    <w:rsid w:val="00357B7D"/>
    <w:rsid w:val="003614CC"/>
    <w:rsid w:val="00363AB1"/>
    <w:rsid w:val="00364027"/>
    <w:rsid w:val="003648D4"/>
    <w:rsid w:val="00370591"/>
    <w:rsid w:val="00370F17"/>
    <w:rsid w:val="003717C1"/>
    <w:rsid w:val="00374B76"/>
    <w:rsid w:val="00374EC9"/>
    <w:rsid w:val="0037649A"/>
    <w:rsid w:val="003819F4"/>
    <w:rsid w:val="003826A1"/>
    <w:rsid w:val="00384F42"/>
    <w:rsid w:val="003850DA"/>
    <w:rsid w:val="00391640"/>
    <w:rsid w:val="003916AA"/>
    <w:rsid w:val="0039268D"/>
    <w:rsid w:val="00392ADA"/>
    <w:rsid w:val="003943CF"/>
    <w:rsid w:val="003954B0"/>
    <w:rsid w:val="003968E0"/>
    <w:rsid w:val="00396CC6"/>
    <w:rsid w:val="003A2F87"/>
    <w:rsid w:val="003B0A90"/>
    <w:rsid w:val="003B158C"/>
    <w:rsid w:val="003B5EAD"/>
    <w:rsid w:val="003B5ED0"/>
    <w:rsid w:val="003B657C"/>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2DA5"/>
    <w:rsid w:val="003D43D7"/>
    <w:rsid w:val="003D4D50"/>
    <w:rsid w:val="003D58C5"/>
    <w:rsid w:val="003D5CCB"/>
    <w:rsid w:val="003D5F3C"/>
    <w:rsid w:val="003D69EF"/>
    <w:rsid w:val="003D75D6"/>
    <w:rsid w:val="003E054D"/>
    <w:rsid w:val="003E075F"/>
    <w:rsid w:val="003E16FE"/>
    <w:rsid w:val="003E22A2"/>
    <w:rsid w:val="003E30CA"/>
    <w:rsid w:val="003E44B4"/>
    <w:rsid w:val="003E547C"/>
    <w:rsid w:val="003E6207"/>
    <w:rsid w:val="003E6629"/>
    <w:rsid w:val="003E716E"/>
    <w:rsid w:val="003E7CE7"/>
    <w:rsid w:val="003E7D26"/>
    <w:rsid w:val="003F1962"/>
    <w:rsid w:val="003F1DD4"/>
    <w:rsid w:val="003F5965"/>
    <w:rsid w:val="003F6D0B"/>
    <w:rsid w:val="003F6ED2"/>
    <w:rsid w:val="003F7508"/>
    <w:rsid w:val="004002CC"/>
    <w:rsid w:val="00402FD8"/>
    <w:rsid w:val="004042CC"/>
    <w:rsid w:val="00405B07"/>
    <w:rsid w:val="00405D2E"/>
    <w:rsid w:val="004060B2"/>
    <w:rsid w:val="00410364"/>
    <w:rsid w:val="004107AE"/>
    <w:rsid w:val="00410E72"/>
    <w:rsid w:val="00411562"/>
    <w:rsid w:val="004131C3"/>
    <w:rsid w:val="0041453D"/>
    <w:rsid w:val="004149B7"/>
    <w:rsid w:val="00415D16"/>
    <w:rsid w:val="00416386"/>
    <w:rsid w:val="004164A2"/>
    <w:rsid w:val="00420391"/>
    <w:rsid w:val="0042181D"/>
    <w:rsid w:val="00421B84"/>
    <w:rsid w:val="00423F15"/>
    <w:rsid w:val="004240EC"/>
    <w:rsid w:val="0042586B"/>
    <w:rsid w:val="00426AEC"/>
    <w:rsid w:val="00427B35"/>
    <w:rsid w:val="00427BB6"/>
    <w:rsid w:val="00431CF0"/>
    <w:rsid w:val="0043343A"/>
    <w:rsid w:val="00433DBB"/>
    <w:rsid w:val="00436B79"/>
    <w:rsid w:val="00440693"/>
    <w:rsid w:val="004412B1"/>
    <w:rsid w:val="004418CF"/>
    <w:rsid w:val="00441F83"/>
    <w:rsid w:val="004439B7"/>
    <w:rsid w:val="00443A4D"/>
    <w:rsid w:val="00443E35"/>
    <w:rsid w:val="004441DA"/>
    <w:rsid w:val="0044427E"/>
    <w:rsid w:val="00444415"/>
    <w:rsid w:val="0044613B"/>
    <w:rsid w:val="00446549"/>
    <w:rsid w:val="00447804"/>
    <w:rsid w:val="00450FF4"/>
    <w:rsid w:val="0045185E"/>
    <w:rsid w:val="004527C8"/>
    <w:rsid w:val="0045367D"/>
    <w:rsid w:val="00453CEA"/>
    <w:rsid w:val="004546CE"/>
    <w:rsid w:val="00455D0C"/>
    <w:rsid w:val="00456509"/>
    <w:rsid w:val="004565DE"/>
    <w:rsid w:val="004602DF"/>
    <w:rsid w:val="0046504C"/>
    <w:rsid w:val="00467FC2"/>
    <w:rsid w:val="00471839"/>
    <w:rsid w:val="004746F8"/>
    <w:rsid w:val="0047571E"/>
    <w:rsid w:val="00476047"/>
    <w:rsid w:val="00480D23"/>
    <w:rsid w:val="0048382B"/>
    <w:rsid w:val="00484792"/>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486"/>
    <w:rsid w:val="004A06EB"/>
    <w:rsid w:val="004A0D2B"/>
    <w:rsid w:val="004A0D49"/>
    <w:rsid w:val="004A1E4A"/>
    <w:rsid w:val="004A2939"/>
    <w:rsid w:val="004A638A"/>
    <w:rsid w:val="004A6A29"/>
    <w:rsid w:val="004A7CDE"/>
    <w:rsid w:val="004B10C5"/>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4197"/>
    <w:rsid w:val="004D4A9F"/>
    <w:rsid w:val="004D5661"/>
    <w:rsid w:val="004D6C03"/>
    <w:rsid w:val="004D726E"/>
    <w:rsid w:val="004D7C5F"/>
    <w:rsid w:val="004D7E20"/>
    <w:rsid w:val="004E0BE3"/>
    <w:rsid w:val="004E2347"/>
    <w:rsid w:val="004E2575"/>
    <w:rsid w:val="004E4952"/>
    <w:rsid w:val="004E4EF5"/>
    <w:rsid w:val="004E6C5A"/>
    <w:rsid w:val="004E750C"/>
    <w:rsid w:val="004F3B0F"/>
    <w:rsid w:val="004F40FC"/>
    <w:rsid w:val="004F5D8C"/>
    <w:rsid w:val="004F65D7"/>
    <w:rsid w:val="004F776D"/>
    <w:rsid w:val="005005F0"/>
    <w:rsid w:val="00502C32"/>
    <w:rsid w:val="00504D2B"/>
    <w:rsid w:val="005050A3"/>
    <w:rsid w:val="005051F3"/>
    <w:rsid w:val="00505D84"/>
    <w:rsid w:val="00512E8C"/>
    <w:rsid w:val="00512F75"/>
    <w:rsid w:val="00515658"/>
    <w:rsid w:val="0051591B"/>
    <w:rsid w:val="005159CD"/>
    <w:rsid w:val="0051622B"/>
    <w:rsid w:val="00520711"/>
    <w:rsid w:val="005211A3"/>
    <w:rsid w:val="005222E2"/>
    <w:rsid w:val="00522E11"/>
    <w:rsid w:val="00524F1B"/>
    <w:rsid w:val="00525779"/>
    <w:rsid w:val="0053258B"/>
    <w:rsid w:val="005340A5"/>
    <w:rsid w:val="005361CD"/>
    <w:rsid w:val="005402ED"/>
    <w:rsid w:val="00540578"/>
    <w:rsid w:val="00541D94"/>
    <w:rsid w:val="00546371"/>
    <w:rsid w:val="005555DD"/>
    <w:rsid w:val="005569ED"/>
    <w:rsid w:val="00561E93"/>
    <w:rsid w:val="00562738"/>
    <w:rsid w:val="005633C4"/>
    <w:rsid w:val="0056471C"/>
    <w:rsid w:val="005651E3"/>
    <w:rsid w:val="00570B9C"/>
    <w:rsid w:val="00572B61"/>
    <w:rsid w:val="00572E10"/>
    <w:rsid w:val="00574811"/>
    <w:rsid w:val="00574A9A"/>
    <w:rsid w:val="0057679E"/>
    <w:rsid w:val="0057716A"/>
    <w:rsid w:val="00581F5D"/>
    <w:rsid w:val="00582637"/>
    <w:rsid w:val="00584CDF"/>
    <w:rsid w:val="005858AE"/>
    <w:rsid w:val="0058678A"/>
    <w:rsid w:val="00586E33"/>
    <w:rsid w:val="00587F7C"/>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E0E"/>
    <w:rsid w:val="005F6F7A"/>
    <w:rsid w:val="005F77E6"/>
    <w:rsid w:val="00600AFD"/>
    <w:rsid w:val="006017A4"/>
    <w:rsid w:val="0060180B"/>
    <w:rsid w:val="00601E58"/>
    <w:rsid w:val="00602969"/>
    <w:rsid w:val="00602B59"/>
    <w:rsid w:val="0060417B"/>
    <w:rsid w:val="0060434C"/>
    <w:rsid w:val="006052DE"/>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DDF"/>
    <w:rsid w:val="00635402"/>
    <w:rsid w:val="00635C37"/>
    <w:rsid w:val="00635C73"/>
    <w:rsid w:val="00637017"/>
    <w:rsid w:val="00637296"/>
    <w:rsid w:val="006378F0"/>
    <w:rsid w:val="0064201F"/>
    <w:rsid w:val="006442A7"/>
    <w:rsid w:val="00645327"/>
    <w:rsid w:val="006465B9"/>
    <w:rsid w:val="00646D42"/>
    <w:rsid w:val="0065217A"/>
    <w:rsid w:val="0065366C"/>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642C"/>
    <w:rsid w:val="0068124D"/>
    <w:rsid w:val="00681922"/>
    <w:rsid w:val="00681AA1"/>
    <w:rsid w:val="006828C0"/>
    <w:rsid w:val="0068374C"/>
    <w:rsid w:val="006838CC"/>
    <w:rsid w:val="006854A9"/>
    <w:rsid w:val="0069000C"/>
    <w:rsid w:val="00691E76"/>
    <w:rsid w:val="00691E9B"/>
    <w:rsid w:val="0069374A"/>
    <w:rsid w:val="00694348"/>
    <w:rsid w:val="006963BE"/>
    <w:rsid w:val="006968A6"/>
    <w:rsid w:val="006970B8"/>
    <w:rsid w:val="006A2745"/>
    <w:rsid w:val="006A326E"/>
    <w:rsid w:val="006A4282"/>
    <w:rsid w:val="006A4324"/>
    <w:rsid w:val="006A5DFB"/>
    <w:rsid w:val="006A618D"/>
    <w:rsid w:val="006A68B0"/>
    <w:rsid w:val="006A7A54"/>
    <w:rsid w:val="006B0AE0"/>
    <w:rsid w:val="006B7621"/>
    <w:rsid w:val="006B7B8B"/>
    <w:rsid w:val="006C1EB3"/>
    <w:rsid w:val="006C2FE9"/>
    <w:rsid w:val="006C4818"/>
    <w:rsid w:val="006C56E4"/>
    <w:rsid w:val="006C648E"/>
    <w:rsid w:val="006C64E9"/>
    <w:rsid w:val="006C66AD"/>
    <w:rsid w:val="006C6B0E"/>
    <w:rsid w:val="006C6C8E"/>
    <w:rsid w:val="006C6DD7"/>
    <w:rsid w:val="006C7967"/>
    <w:rsid w:val="006C7E32"/>
    <w:rsid w:val="006D1517"/>
    <w:rsid w:val="006D1650"/>
    <w:rsid w:val="006D1BE0"/>
    <w:rsid w:val="006D25F7"/>
    <w:rsid w:val="006D49ED"/>
    <w:rsid w:val="006D4F83"/>
    <w:rsid w:val="006D5AC7"/>
    <w:rsid w:val="006D5D03"/>
    <w:rsid w:val="006E3AD0"/>
    <w:rsid w:val="006E4811"/>
    <w:rsid w:val="006E49EC"/>
    <w:rsid w:val="006E4AEC"/>
    <w:rsid w:val="006E7B6E"/>
    <w:rsid w:val="006E7DDD"/>
    <w:rsid w:val="006F1577"/>
    <w:rsid w:val="006F1AC6"/>
    <w:rsid w:val="006F1DE0"/>
    <w:rsid w:val="006F4B9F"/>
    <w:rsid w:val="006F5251"/>
    <w:rsid w:val="006F56CF"/>
    <w:rsid w:val="006F591A"/>
    <w:rsid w:val="006F5A75"/>
    <w:rsid w:val="0070157D"/>
    <w:rsid w:val="0070183B"/>
    <w:rsid w:val="007019B7"/>
    <w:rsid w:val="00701DF1"/>
    <w:rsid w:val="0070335A"/>
    <w:rsid w:val="0070339A"/>
    <w:rsid w:val="00705107"/>
    <w:rsid w:val="00705A22"/>
    <w:rsid w:val="00706A60"/>
    <w:rsid w:val="00711164"/>
    <w:rsid w:val="00714DDB"/>
    <w:rsid w:val="00715699"/>
    <w:rsid w:val="00715FA8"/>
    <w:rsid w:val="00716728"/>
    <w:rsid w:val="00717EBD"/>
    <w:rsid w:val="00720278"/>
    <w:rsid w:val="007232F1"/>
    <w:rsid w:val="00723ECB"/>
    <w:rsid w:val="00723F6E"/>
    <w:rsid w:val="00724CBB"/>
    <w:rsid w:val="00724CFE"/>
    <w:rsid w:val="007251F6"/>
    <w:rsid w:val="007276E2"/>
    <w:rsid w:val="00727C42"/>
    <w:rsid w:val="00732404"/>
    <w:rsid w:val="007330AE"/>
    <w:rsid w:val="00735C43"/>
    <w:rsid w:val="00737A04"/>
    <w:rsid w:val="00737BD2"/>
    <w:rsid w:val="00740015"/>
    <w:rsid w:val="007410F6"/>
    <w:rsid w:val="007419BA"/>
    <w:rsid w:val="00742D15"/>
    <w:rsid w:val="00742D7B"/>
    <w:rsid w:val="007443B5"/>
    <w:rsid w:val="00744609"/>
    <w:rsid w:val="007456F0"/>
    <w:rsid w:val="007474EC"/>
    <w:rsid w:val="00752B3B"/>
    <w:rsid w:val="00756CA5"/>
    <w:rsid w:val="007574F7"/>
    <w:rsid w:val="00761BAF"/>
    <w:rsid w:val="00761D64"/>
    <w:rsid w:val="00765499"/>
    <w:rsid w:val="00766B74"/>
    <w:rsid w:val="007713C0"/>
    <w:rsid w:val="00772CD8"/>
    <w:rsid w:val="00773AD6"/>
    <w:rsid w:val="0077599F"/>
    <w:rsid w:val="0077690E"/>
    <w:rsid w:val="00776E02"/>
    <w:rsid w:val="00783840"/>
    <w:rsid w:val="00784318"/>
    <w:rsid w:val="007854BB"/>
    <w:rsid w:val="00790524"/>
    <w:rsid w:val="00791D92"/>
    <w:rsid w:val="00791DAD"/>
    <w:rsid w:val="00792E56"/>
    <w:rsid w:val="00794625"/>
    <w:rsid w:val="007948D7"/>
    <w:rsid w:val="007953B5"/>
    <w:rsid w:val="00795BC7"/>
    <w:rsid w:val="007966AF"/>
    <w:rsid w:val="007A1F41"/>
    <w:rsid w:val="007A2E39"/>
    <w:rsid w:val="007A4984"/>
    <w:rsid w:val="007A5166"/>
    <w:rsid w:val="007A564A"/>
    <w:rsid w:val="007A67A8"/>
    <w:rsid w:val="007A6948"/>
    <w:rsid w:val="007B07AD"/>
    <w:rsid w:val="007B1340"/>
    <w:rsid w:val="007B1DE2"/>
    <w:rsid w:val="007B2216"/>
    <w:rsid w:val="007B3B0D"/>
    <w:rsid w:val="007B3D65"/>
    <w:rsid w:val="007B43D1"/>
    <w:rsid w:val="007B47D9"/>
    <w:rsid w:val="007B643B"/>
    <w:rsid w:val="007B6F4A"/>
    <w:rsid w:val="007B700A"/>
    <w:rsid w:val="007B708A"/>
    <w:rsid w:val="007C135D"/>
    <w:rsid w:val="007C24D6"/>
    <w:rsid w:val="007C438A"/>
    <w:rsid w:val="007C43D0"/>
    <w:rsid w:val="007C5605"/>
    <w:rsid w:val="007C57B0"/>
    <w:rsid w:val="007C57DA"/>
    <w:rsid w:val="007C5E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E447C"/>
    <w:rsid w:val="007E46F2"/>
    <w:rsid w:val="007F0465"/>
    <w:rsid w:val="007F131D"/>
    <w:rsid w:val="007F2902"/>
    <w:rsid w:val="007F2DFE"/>
    <w:rsid w:val="007F5DCD"/>
    <w:rsid w:val="007F6DF3"/>
    <w:rsid w:val="008005C9"/>
    <w:rsid w:val="00800BA8"/>
    <w:rsid w:val="008018CE"/>
    <w:rsid w:val="00801C91"/>
    <w:rsid w:val="00802518"/>
    <w:rsid w:val="008030DD"/>
    <w:rsid w:val="008031F9"/>
    <w:rsid w:val="008044F6"/>
    <w:rsid w:val="008054AE"/>
    <w:rsid w:val="00805815"/>
    <w:rsid w:val="00807EB0"/>
    <w:rsid w:val="00812AF4"/>
    <w:rsid w:val="00813FA0"/>
    <w:rsid w:val="00814A41"/>
    <w:rsid w:val="00815C62"/>
    <w:rsid w:val="0081712E"/>
    <w:rsid w:val="00817311"/>
    <w:rsid w:val="008208C1"/>
    <w:rsid w:val="00822440"/>
    <w:rsid w:val="00823F33"/>
    <w:rsid w:val="00824815"/>
    <w:rsid w:val="00824A95"/>
    <w:rsid w:val="0082520F"/>
    <w:rsid w:val="008270BF"/>
    <w:rsid w:val="00830242"/>
    <w:rsid w:val="00837FFB"/>
    <w:rsid w:val="008401BF"/>
    <w:rsid w:val="00841A80"/>
    <w:rsid w:val="00844DA3"/>
    <w:rsid w:val="00846230"/>
    <w:rsid w:val="00853661"/>
    <w:rsid w:val="00853A39"/>
    <w:rsid w:val="00853E7F"/>
    <w:rsid w:val="00854022"/>
    <w:rsid w:val="0085559D"/>
    <w:rsid w:val="00855884"/>
    <w:rsid w:val="00855B8B"/>
    <w:rsid w:val="008561A2"/>
    <w:rsid w:val="0085791F"/>
    <w:rsid w:val="008614FC"/>
    <w:rsid w:val="00861E3C"/>
    <w:rsid w:val="00863349"/>
    <w:rsid w:val="00865090"/>
    <w:rsid w:val="0086578B"/>
    <w:rsid w:val="00866E84"/>
    <w:rsid w:val="0086710F"/>
    <w:rsid w:val="0087090D"/>
    <w:rsid w:val="00870C10"/>
    <w:rsid w:val="00871125"/>
    <w:rsid w:val="00872915"/>
    <w:rsid w:val="00873B57"/>
    <w:rsid w:val="00874131"/>
    <w:rsid w:val="00875537"/>
    <w:rsid w:val="00875764"/>
    <w:rsid w:val="008769E4"/>
    <w:rsid w:val="00880B19"/>
    <w:rsid w:val="00882908"/>
    <w:rsid w:val="00883946"/>
    <w:rsid w:val="0088426A"/>
    <w:rsid w:val="0088796E"/>
    <w:rsid w:val="00893321"/>
    <w:rsid w:val="00894C3C"/>
    <w:rsid w:val="008964CF"/>
    <w:rsid w:val="008973D9"/>
    <w:rsid w:val="008A3198"/>
    <w:rsid w:val="008A7F7B"/>
    <w:rsid w:val="008B09F3"/>
    <w:rsid w:val="008B1049"/>
    <w:rsid w:val="008B13EA"/>
    <w:rsid w:val="008B27E2"/>
    <w:rsid w:val="008B2A5E"/>
    <w:rsid w:val="008B4A68"/>
    <w:rsid w:val="008C0D81"/>
    <w:rsid w:val="008C1190"/>
    <w:rsid w:val="008C17C4"/>
    <w:rsid w:val="008C1D12"/>
    <w:rsid w:val="008C2638"/>
    <w:rsid w:val="008C33E0"/>
    <w:rsid w:val="008C3436"/>
    <w:rsid w:val="008C56FD"/>
    <w:rsid w:val="008C69E0"/>
    <w:rsid w:val="008C7A73"/>
    <w:rsid w:val="008D0E99"/>
    <w:rsid w:val="008D3133"/>
    <w:rsid w:val="008D3E64"/>
    <w:rsid w:val="008D4954"/>
    <w:rsid w:val="008D4E0D"/>
    <w:rsid w:val="008D4E4E"/>
    <w:rsid w:val="008D594E"/>
    <w:rsid w:val="008D6D48"/>
    <w:rsid w:val="008D7AF1"/>
    <w:rsid w:val="008D7C22"/>
    <w:rsid w:val="008E03DF"/>
    <w:rsid w:val="008E3BC6"/>
    <w:rsid w:val="008E4466"/>
    <w:rsid w:val="008E4F9F"/>
    <w:rsid w:val="008E53C5"/>
    <w:rsid w:val="008E62FB"/>
    <w:rsid w:val="008E67F2"/>
    <w:rsid w:val="008E757C"/>
    <w:rsid w:val="008E7901"/>
    <w:rsid w:val="008E7C33"/>
    <w:rsid w:val="008F026C"/>
    <w:rsid w:val="008F2ABA"/>
    <w:rsid w:val="008F379E"/>
    <w:rsid w:val="008F3CAA"/>
    <w:rsid w:val="008F46B2"/>
    <w:rsid w:val="008F4905"/>
    <w:rsid w:val="008F5B10"/>
    <w:rsid w:val="008F5BE3"/>
    <w:rsid w:val="008F6B12"/>
    <w:rsid w:val="009012A9"/>
    <w:rsid w:val="00901FEF"/>
    <w:rsid w:val="00903764"/>
    <w:rsid w:val="0090569C"/>
    <w:rsid w:val="009103A0"/>
    <w:rsid w:val="0091049A"/>
    <w:rsid w:val="00910F3E"/>
    <w:rsid w:val="0091147D"/>
    <w:rsid w:val="00911E9B"/>
    <w:rsid w:val="0091347E"/>
    <w:rsid w:val="00916F33"/>
    <w:rsid w:val="00922A00"/>
    <w:rsid w:val="00922F71"/>
    <w:rsid w:val="0092342A"/>
    <w:rsid w:val="00923A71"/>
    <w:rsid w:val="009240C4"/>
    <w:rsid w:val="00925942"/>
    <w:rsid w:val="009265E2"/>
    <w:rsid w:val="00926C10"/>
    <w:rsid w:val="00927211"/>
    <w:rsid w:val="0093073D"/>
    <w:rsid w:val="0093088D"/>
    <w:rsid w:val="009315CE"/>
    <w:rsid w:val="00931F50"/>
    <w:rsid w:val="00933D5B"/>
    <w:rsid w:val="00933E44"/>
    <w:rsid w:val="00934B9E"/>
    <w:rsid w:val="00935AAC"/>
    <w:rsid w:val="009378C4"/>
    <w:rsid w:val="009413CA"/>
    <w:rsid w:val="00943826"/>
    <w:rsid w:val="00945381"/>
    <w:rsid w:val="00947B05"/>
    <w:rsid w:val="0095023E"/>
    <w:rsid w:val="00950534"/>
    <w:rsid w:val="00951462"/>
    <w:rsid w:val="009543D0"/>
    <w:rsid w:val="009547F2"/>
    <w:rsid w:val="009572DB"/>
    <w:rsid w:val="00961922"/>
    <w:rsid w:val="00961C1D"/>
    <w:rsid w:val="0096309B"/>
    <w:rsid w:val="0096365A"/>
    <w:rsid w:val="00963D90"/>
    <w:rsid w:val="0096496C"/>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7493"/>
    <w:rsid w:val="00997506"/>
    <w:rsid w:val="009A0830"/>
    <w:rsid w:val="009A0AA6"/>
    <w:rsid w:val="009A0F33"/>
    <w:rsid w:val="009A1826"/>
    <w:rsid w:val="009A1F97"/>
    <w:rsid w:val="009A466F"/>
    <w:rsid w:val="009A4CA8"/>
    <w:rsid w:val="009A5110"/>
    <w:rsid w:val="009A57C8"/>
    <w:rsid w:val="009A6855"/>
    <w:rsid w:val="009A7B30"/>
    <w:rsid w:val="009A7D01"/>
    <w:rsid w:val="009B27AE"/>
    <w:rsid w:val="009B42D8"/>
    <w:rsid w:val="009B5BCA"/>
    <w:rsid w:val="009B6F00"/>
    <w:rsid w:val="009B76ED"/>
    <w:rsid w:val="009C07BF"/>
    <w:rsid w:val="009C0C1A"/>
    <w:rsid w:val="009C0C31"/>
    <w:rsid w:val="009C20F4"/>
    <w:rsid w:val="009C2A5D"/>
    <w:rsid w:val="009C3B47"/>
    <w:rsid w:val="009C4205"/>
    <w:rsid w:val="009C4FD8"/>
    <w:rsid w:val="009C5C6D"/>
    <w:rsid w:val="009C6991"/>
    <w:rsid w:val="009C73D3"/>
    <w:rsid w:val="009D04D9"/>
    <w:rsid w:val="009D058A"/>
    <w:rsid w:val="009D1E2A"/>
    <w:rsid w:val="009D581E"/>
    <w:rsid w:val="009D588E"/>
    <w:rsid w:val="009D6BB9"/>
    <w:rsid w:val="009D6C48"/>
    <w:rsid w:val="009E142F"/>
    <w:rsid w:val="009E3257"/>
    <w:rsid w:val="009E5281"/>
    <w:rsid w:val="009E55C9"/>
    <w:rsid w:val="009E6F3C"/>
    <w:rsid w:val="009E73A7"/>
    <w:rsid w:val="009F0C46"/>
    <w:rsid w:val="009F15A0"/>
    <w:rsid w:val="009F1A7C"/>
    <w:rsid w:val="009F222E"/>
    <w:rsid w:val="009F33E5"/>
    <w:rsid w:val="009F3462"/>
    <w:rsid w:val="009F7555"/>
    <w:rsid w:val="00A01980"/>
    <w:rsid w:val="00A048E2"/>
    <w:rsid w:val="00A053CA"/>
    <w:rsid w:val="00A054ED"/>
    <w:rsid w:val="00A05751"/>
    <w:rsid w:val="00A05D22"/>
    <w:rsid w:val="00A064BF"/>
    <w:rsid w:val="00A077A9"/>
    <w:rsid w:val="00A0784B"/>
    <w:rsid w:val="00A07AA1"/>
    <w:rsid w:val="00A07F9A"/>
    <w:rsid w:val="00A103CD"/>
    <w:rsid w:val="00A10674"/>
    <w:rsid w:val="00A10771"/>
    <w:rsid w:val="00A12241"/>
    <w:rsid w:val="00A13D6E"/>
    <w:rsid w:val="00A16106"/>
    <w:rsid w:val="00A209D9"/>
    <w:rsid w:val="00A20FD3"/>
    <w:rsid w:val="00A2691A"/>
    <w:rsid w:val="00A26A14"/>
    <w:rsid w:val="00A27463"/>
    <w:rsid w:val="00A30142"/>
    <w:rsid w:val="00A31724"/>
    <w:rsid w:val="00A34645"/>
    <w:rsid w:val="00A3764D"/>
    <w:rsid w:val="00A37DF3"/>
    <w:rsid w:val="00A408EB"/>
    <w:rsid w:val="00A40C13"/>
    <w:rsid w:val="00A42639"/>
    <w:rsid w:val="00A42DDA"/>
    <w:rsid w:val="00A45E58"/>
    <w:rsid w:val="00A47124"/>
    <w:rsid w:val="00A47EB6"/>
    <w:rsid w:val="00A507BB"/>
    <w:rsid w:val="00A525A4"/>
    <w:rsid w:val="00A53938"/>
    <w:rsid w:val="00A57313"/>
    <w:rsid w:val="00A57386"/>
    <w:rsid w:val="00A576EE"/>
    <w:rsid w:val="00A57981"/>
    <w:rsid w:val="00A57C98"/>
    <w:rsid w:val="00A604D9"/>
    <w:rsid w:val="00A60ED3"/>
    <w:rsid w:val="00A62AF2"/>
    <w:rsid w:val="00A62B23"/>
    <w:rsid w:val="00A634E1"/>
    <w:rsid w:val="00A63EF3"/>
    <w:rsid w:val="00A64B34"/>
    <w:rsid w:val="00A65CF9"/>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778A"/>
    <w:rsid w:val="00A9017A"/>
    <w:rsid w:val="00A90329"/>
    <w:rsid w:val="00A90D7D"/>
    <w:rsid w:val="00A934F0"/>
    <w:rsid w:val="00AA1EED"/>
    <w:rsid w:val="00AA2377"/>
    <w:rsid w:val="00AA36CC"/>
    <w:rsid w:val="00AA4D50"/>
    <w:rsid w:val="00AA693A"/>
    <w:rsid w:val="00AB1466"/>
    <w:rsid w:val="00AB1C7A"/>
    <w:rsid w:val="00AB289D"/>
    <w:rsid w:val="00AB320C"/>
    <w:rsid w:val="00AB362D"/>
    <w:rsid w:val="00AB414D"/>
    <w:rsid w:val="00AB7B9D"/>
    <w:rsid w:val="00AC2F4F"/>
    <w:rsid w:val="00AC6645"/>
    <w:rsid w:val="00AC6A69"/>
    <w:rsid w:val="00AC70D9"/>
    <w:rsid w:val="00AC7F8C"/>
    <w:rsid w:val="00AD0603"/>
    <w:rsid w:val="00AD3FD3"/>
    <w:rsid w:val="00AD5AFE"/>
    <w:rsid w:val="00AD7432"/>
    <w:rsid w:val="00AE0D83"/>
    <w:rsid w:val="00AE0DBB"/>
    <w:rsid w:val="00AE1771"/>
    <w:rsid w:val="00AE1FD1"/>
    <w:rsid w:val="00AE4FF5"/>
    <w:rsid w:val="00AE59CC"/>
    <w:rsid w:val="00AE5A11"/>
    <w:rsid w:val="00AE756D"/>
    <w:rsid w:val="00AE7AA4"/>
    <w:rsid w:val="00AF04A4"/>
    <w:rsid w:val="00AF123F"/>
    <w:rsid w:val="00AF29D8"/>
    <w:rsid w:val="00AF2C0B"/>
    <w:rsid w:val="00AF718F"/>
    <w:rsid w:val="00B00268"/>
    <w:rsid w:val="00B01980"/>
    <w:rsid w:val="00B11B05"/>
    <w:rsid w:val="00B13859"/>
    <w:rsid w:val="00B139C3"/>
    <w:rsid w:val="00B16E74"/>
    <w:rsid w:val="00B1795A"/>
    <w:rsid w:val="00B23901"/>
    <w:rsid w:val="00B24D14"/>
    <w:rsid w:val="00B250A2"/>
    <w:rsid w:val="00B26F36"/>
    <w:rsid w:val="00B27061"/>
    <w:rsid w:val="00B30936"/>
    <w:rsid w:val="00B30AA5"/>
    <w:rsid w:val="00B343DF"/>
    <w:rsid w:val="00B35536"/>
    <w:rsid w:val="00B40095"/>
    <w:rsid w:val="00B40CA9"/>
    <w:rsid w:val="00B410E0"/>
    <w:rsid w:val="00B42715"/>
    <w:rsid w:val="00B43122"/>
    <w:rsid w:val="00B468A8"/>
    <w:rsid w:val="00B468F2"/>
    <w:rsid w:val="00B50064"/>
    <w:rsid w:val="00B503D5"/>
    <w:rsid w:val="00B513CA"/>
    <w:rsid w:val="00B52C98"/>
    <w:rsid w:val="00B531B7"/>
    <w:rsid w:val="00B53846"/>
    <w:rsid w:val="00B5434C"/>
    <w:rsid w:val="00B54565"/>
    <w:rsid w:val="00B55AEF"/>
    <w:rsid w:val="00B561AF"/>
    <w:rsid w:val="00B62790"/>
    <w:rsid w:val="00B63898"/>
    <w:rsid w:val="00B63F8C"/>
    <w:rsid w:val="00B663B0"/>
    <w:rsid w:val="00B67185"/>
    <w:rsid w:val="00B67805"/>
    <w:rsid w:val="00B7118A"/>
    <w:rsid w:val="00B72BB4"/>
    <w:rsid w:val="00B740A7"/>
    <w:rsid w:val="00B748B8"/>
    <w:rsid w:val="00B76689"/>
    <w:rsid w:val="00B8026B"/>
    <w:rsid w:val="00B82A2E"/>
    <w:rsid w:val="00B85C06"/>
    <w:rsid w:val="00B86E56"/>
    <w:rsid w:val="00B871A7"/>
    <w:rsid w:val="00B90CC5"/>
    <w:rsid w:val="00B92284"/>
    <w:rsid w:val="00B93C55"/>
    <w:rsid w:val="00B953CA"/>
    <w:rsid w:val="00B97151"/>
    <w:rsid w:val="00BA0B39"/>
    <w:rsid w:val="00BA1492"/>
    <w:rsid w:val="00BA153A"/>
    <w:rsid w:val="00BA54DE"/>
    <w:rsid w:val="00BA6A28"/>
    <w:rsid w:val="00BB04A0"/>
    <w:rsid w:val="00BB0F47"/>
    <w:rsid w:val="00BB489B"/>
    <w:rsid w:val="00BB59E3"/>
    <w:rsid w:val="00BB60F0"/>
    <w:rsid w:val="00BB793C"/>
    <w:rsid w:val="00BC1140"/>
    <w:rsid w:val="00BC24E7"/>
    <w:rsid w:val="00BC3D48"/>
    <w:rsid w:val="00BC4537"/>
    <w:rsid w:val="00BC515C"/>
    <w:rsid w:val="00BC5209"/>
    <w:rsid w:val="00BC6A3C"/>
    <w:rsid w:val="00BC74D5"/>
    <w:rsid w:val="00BC77D5"/>
    <w:rsid w:val="00BC7A8E"/>
    <w:rsid w:val="00BD18D3"/>
    <w:rsid w:val="00BD1CB1"/>
    <w:rsid w:val="00BD1F8B"/>
    <w:rsid w:val="00BD2A45"/>
    <w:rsid w:val="00BD4832"/>
    <w:rsid w:val="00BD4C45"/>
    <w:rsid w:val="00BD533E"/>
    <w:rsid w:val="00BD67B7"/>
    <w:rsid w:val="00BD6DAD"/>
    <w:rsid w:val="00BD6F7D"/>
    <w:rsid w:val="00BD7347"/>
    <w:rsid w:val="00BE2479"/>
    <w:rsid w:val="00BE352E"/>
    <w:rsid w:val="00BE3FFC"/>
    <w:rsid w:val="00BE422B"/>
    <w:rsid w:val="00BE42D6"/>
    <w:rsid w:val="00BE47AA"/>
    <w:rsid w:val="00BE5227"/>
    <w:rsid w:val="00BE5E38"/>
    <w:rsid w:val="00BE62A8"/>
    <w:rsid w:val="00BF05A8"/>
    <w:rsid w:val="00BF07C3"/>
    <w:rsid w:val="00BF504E"/>
    <w:rsid w:val="00BF5544"/>
    <w:rsid w:val="00BF6E96"/>
    <w:rsid w:val="00BF7DD7"/>
    <w:rsid w:val="00C007CF"/>
    <w:rsid w:val="00C04EB1"/>
    <w:rsid w:val="00C05CB0"/>
    <w:rsid w:val="00C06B33"/>
    <w:rsid w:val="00C07522"/>
    <w:rsid w:val="00C078C1"/>
    <w:rsid w:val="00C1064B"/>
    <w:rsid w:val="00C1269D"/>
    <w:rsid w:val="00C12995"/>
    <w:rsid w:val="00C12C6D"/>
    <w:rsid w:val="00C12D11"/>
    <w:rsid w:val="00C13CA8"/>
    <w:rsid w:val="00C1466E"/>
    <w:rsid w:val="00C149AA"/>
    <w:rsid w:val="00C169C9"/>
    <w:rsid w:val="00C16A49"/>
    <w:rsid w:val="00C20425"/>
    <w:rsid w:val="00C208E1"/>
    <w:rsid w:val="00C21E54"/>
    <w:rsid w:val="00C22E31"/>
    <w:rsid w:val="00C253F6"/>
    <w:rsid w:val="00C25CBB"/>
    <w:rsid w:val="00C261A8"/>
    <w:rsid w:val="00C264DD"/>
    <w:rsid w:val="00C26A48"/>
    <w:rsid w:val="00C27459"/>
    <w:rsid w:val="00C3101A"/>
    <w:rsid w:val="00C31B84"/>
    <w:rsid w:val="00C32283"/>
    <w:rsid w:val="00C41093"/>
    <w:rsid w:val="00C4336D"/>
    <w:rsid w:val="00C460EA"/>
    <w:rsid w:val="00C46BA9"/>
    <w:rsid w:val="00C47D29"/>
    <w:rsid w:val="00C504EF"/>
    <w:rsid w:val="00C5107D"/>
    <w:rsid w:val="00C51217"/>
    <w:rsid w:val="00C54250"/>
    <w:rsid w:val="00C55954"/>
    <w:rsid w:val="00C57EA3"/>
    <w:rsid w:val="00C61E9C"/>
    <w:rsid w:val="00C62F67"/>
    <w:rsid w:val="00C65C0C"/>
    <w:rsid w:val="00C65E79"/>
    <w:rsid w:val="00C6686D"/>
    <w:rsid w:val="00C67931"/>
    <w:rsid w:val="00C7219A"/>
    <w:rsid w:val="00C730CC"/>
    <w:rsid w:val="00C7389A"/>
    <w:rsid w:val="00C762B6"/>
    <w:rsid w:val="00C762F2"/>
    <w:rsid w:val="00C77863"/>
    <w:rsid w:val="00C80D72"/>
    <w:rsid w:val="00C80DDE"/>
    <w:rsid w:val="00C817E3"/>
    <w:rsid w:val="00C82BA1"/>
    <w:rsid w:val="00C84BC0"/>
    <w:rsid w:val="00C854A5"/>
    <w:rsid w:val="00C85698"/>
    <w:rsid w:val="00C86667"/>
    <w:rsid w:val="00C86775"/>
    <w:rsid w:val="00C87347"/>
    <w:rsid w:val="00C87684"/>
    <w:rsid w:val="00C92EB4"/>
    <w:rsid w:val="00C93D79"/>
    <w:rsid w:val="00C94340"/>
    <w:rsid w:val="00C94408"/>
    <w:rsid w:val="00C963DB"/>
    <w:rsid w:val="00C964E5"/>
    <w:rsid w:val="00C96EEE"/>
    <w:rsid w:val="00C97703"/>
    <w:rsid w:val="00CA0D2F"/>
    <w:rsid w:val="00CA5D50"/>
    <w:rsid w:val="00CB0752"/>
    <w:rsid w:val="00CB0CEC"/>
    <w:rsid w:val="00CB18B6"/>
    <w:rsid w:val="00CB2C58"/>
    <w:rsid w:val="00CB2D33"/>
    <w:rsid w:val="00CB363D"/>
    <w:rsid w:val="00CB3643"/>
    <w:rsid w:val="00CB472C"/>
    <w:rsid w:val="00CB60A5"/>
    <w:rsid w:val="00CB7498"/>
    <w:rsid w:val="00CB7895"/>
    <w:rsid w:val="00CB79DB"/>
    <w:rsid w:val="00CC4144"/>
    <w:rsid w:val="00CC544F"/>
    <w:rsid w:val="00CC680E"/>
    <w:rsid w:val="00CC7157"/>
    <w:rsid w:val="00CD5C67"/>
    <w:rsid w:val="00CD5FCC"/>
    <w:rsid w:val="00CD63D9"/>
    <w:rsid w:val="00CD7B1F"/>
    <w:rsid w:val="00CE2FB0"/>
    <w:rsid w:val="00CE505E"/>
    <w:rsid w:val="00CE53A1"/>
    <w:rsid w:val="00CE5B54"/>
    <w:rsid w:val="00CE627C"/>
    <w:rsid w:val="00CE72FD"/>
    <w:rsid w:val="00CF2B4B"/>
    <w:rsid w:val="00CF4C19"/>
    <w:rsid w:val="00CF6B1D"/>
    <w:rsid w:val="00CF7573"/>
    <w:rsid w:val="00CF7BF9"/>
    <w:rsid w:val="00CF7EDF"/>
    <w:rsid w:val="00D016C9"/>
    <w:rsid w:val="00D01920"/>
    <w:rsid w:val="00D04EFD"/>
    <w:rsid w:val="00D052D1"/>
    <w:rsid w:val="00D1193C"/>
    <w:rsid w:val="00D124CE"/>
    <w:rsid w:val="00D12B9E"/>
    <w:rsid w:val="00D14C80"/>
    <w:rsid w:val="00D151CB"/>
    <w:rsid w:val="00D15F6B"/>
    <w:rsid w:val="00D15FDD"/>
    <w:rsid w:val="00D162D4"/>
    <w:rsid w:val="00D177D9"/>
    <w:rsid w:val="00D17D20"/>
    <w:rsid w:val="00D21294"/>
    <w:rsid w:val="00D2234E"/>
    <w:rsid w:val="00D228D2"/>
    <w:rsid w:val="00D22EA0"/>
    <w:rsid w:val="00D22F7D"/>
    <w:rsid w:val="00D24FE1"/>
    <w:rsid w:val="00D2501E"/>
    <w:rsid w:val="00D25575"/>
    <w:rsid w:val="00D270A6"/>
    <w:rsid w:val="00D30D55"/>
    <w:rsid w:val="00D32F82"/>
    <w:rsid w:val="00D33273"/>
    <w:rsid w:val="00D33D67"/>
    <w:rsid w:val="00D362F7"/>
    <w:rsid w:val="00D41ABB"/>
    <w:rsid w:val="00D41CC3"/>
    <w:rsid w:val="00D45364"/>
    <w:rsid w:val="00D46BDF"/>
    <w:rsid w:val="00D470FD"/>
    <w:rsid w:val="00D4722A"/>
    <w:rsid w:val="00D47CE7"/>
    <w:rsid w:val="00D50B70"/>
    <w:rsid w:val="00D5115A"/>
    <w:rsid w:val="00D5188D"/>
    <w:rsid w:val="00D51F8E"/>
    <w:rsid w:val="00D52BB0"/>
    <w:rsid w:val="00D56804"/>
    <w:rsid w:val="00D62631"/>
    <w:rsid w:val="00D626E3"/>
    <w:rsid w:val="00D62DD5"/>
    <w:rsid w:val="00D6314C"/>
    <w:rsid w:val="00D63660"/>
    <w:rsid w:val="00D643FE"/>
    <w:rsid w:val="00D64887"/>
    <w:rsid w:val="00D648EF"/>
    <w:rsid w:val="00D65491"/>
    <w:rsid w:val="00D66926"/>
    <w:rsid w:val="00D66DF9"/>
    <w:rsid w:val="00D71EBB"/>
    <w:rsid w:val="00D73169"/>
    <w:rsid w:val="00D73B59"/>
    <w:rsid w:val="00D75477"/>
    <w:rsid w:val="00D75ABC"/>
    <w:rsid w:val="00D80096"/>
    <w:rsid w:val="00D80FE1"/>
    <w:rsid w:val="00D81A8C"/>
    <w:rsid w:val="00D81BB6"/>
    <w:rsid w:val="00D82900"/>
    <w:rsid w:val="00D82CDB"/>
    <w:rsid w:val="00D84C0B"/>
    <w:rsid w:val="00D85102"/>
    <w:rsid w:val="00D85191"/>
    <w:rsid w:val="00D855AB"/>
    <w:rsid w:val="00D86F51"/>
    <w:rsid w:val="00D87FCB"/>
    <w:rsid w:val="00D93919"/>
    <w:rsid w:val="00D93FE5"/>
    <w:rsid w:val="00D9493C"/>
    <w:rsid w:val="00D960EC"/>
    <w:rsid w:val="00D968F8"/>
    <w:rsid w:val="00D96DBB"/>
    <w:rsid w:val="00DA1AB5"/>
    <w:rsid w:val="00DA392A"/>
    <w:rsid w:val="00DA3F56"/>
    <w:rsid w:val="00DA535E"/>
    <w:rsid w:val="00DA57A4"/>
    <w:rsid w:val="00DA672B"/>
    <w:rsid w:val="00DA6FBB"/>
    <w:rsid w:val="00DA7D1A"/>
    <w:rsid w:val="00DB09E8"/>
    <w:rsid w:val="00DB1B98"/>
    <w:rsid w:val="00DB1BA9"/>
    <w:rsid w:val="00DB1EC6"/>
    <w:rsid w:val="00DB3EA6"/>
    <w:rsid w:val="00DB4649"/>
    <w:rsid w:val="00DB50AC"/>
    <w:rsid w:val="00DB6980"/>
    <w:rsid w:val="00DB739A"/>
    <w:rsid w:val="00DC0955"/>
    <w:rsid w:val="00DC1019"/>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F10B3"/>
    <w:rsid w:val="00DF273B"/>
    <w:rsid w:val="00DF2CA7"/>
    <w:rsid w:val="00DF3015"/>
    <w:rsid w:val="00DF75EB"/>
    <w:rsid w:val="00E01ED1"/>
    <w:rsid w:val="00E04404"/>
    <w:rsid w:val="00E04862"/>
    <w:rsid w:val="00E04CFB"/>
    <w:rsid w:val="00E11144"/>
    <w:rsid w:val="00E13745"/>
    <w:rsid w:val="00E13B0A"/>
    <w:rsid w:val="00E140CF"/>
    <w:rsid w:val="00E144F4"/>
    <w:rsid w:val="00E14847"/>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76F6"/>
    <w:rsid w:val="00E379AF"/>
    <w:rsid w:val="00E41321"/>
    <w:rsid w:val="00E41789"/>
    <w:rsid w:val="00E41AA8"/>
    <w:rsid w:val="00E435CC"/>
    <w:rsid w:val="00E43B97"/>
    <w:rsid w:val="00E44B91"/>
    <w:rsid w:val="00E44CA5"/>
    <w:rsid w:val="00E45101"/>
    <w:rsid w:val="00E52ABC"/>
    <w:rsid w:val="00E538A6"/>
    <w:rsid w:val="00E5497B"/>
    <w:rsid w:val="00E557A0"/>
    <w:rsid w:val="00E566DE"/>
    <w:rsid w:val="00E56854"/>
    <w:rsid w:val="00E60458"/>
    <w:rsid w:val="00E60CAE"/>
    <w:rsid w:val="00E6126D"/>
    <w:rsid w:val="00E61ADF"/>
    <w:rsid w:val="00E61B22"/>
    <w:rsid w:val="00E6250C"/>
    <w:rsid w:val="00E62A72"/>
    <w:rsid w:val="00E63141"/>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2B33"/>
    <w:rsid w:val="00E83509"/>
    <w:rsid w:val="00E85164"/>
    <w:rsid w:val="00E86755"/>
    <w:rsid w:val="00E86DD1"/>
    <w:rsid w:val="00E87E18"/>
    <w:rsid w:val="00E90742"/>
    <w:rsid w:val="00E91D38"/>
    <w:rsid w:val="00E9223E"/>
    <w:rsid w:val="00E942FB"/>
    <w:rsid w:val="00E9532E"/>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A8"/>
    <w:rsid w:val="00EB162E"/>
    <w:rsid w:val="00EB1A9A"/>
    <w:rsid w:val="00EB24F3"/>
    <w:rsid w:val="00EB2BD9"/>
    <w:rsid w:val="00EB317D"/>
    <w:rsid w:val="00EB4058"/>
    <w:rsid w:val="00EB7AAD"/>
    <w:rsid w:val="00EC01A2"/>
    <w:rsid w:val="00EC1247"/>
    <w:rsid w:val="00EC2312"/>
    <w:rsid w:val="00EC3328"/>
    <w:rsid w:val="00EC4133"/>
    <w:rsid w:val="00EC4830"/>
    <w:rsid w:val="00EC6711"/>
    <w:rsid w:val="00EC73BF"/>
    <w:rsid w:val="00EC75DD"/>
    <w:rsid w:val="00ED0876"/>
    <w:rsid w:val="00ED0DCD"/>
    <w:rsid w:val="00ED413E"/>
    <w:rsid w:val="00EE19CB"/>
    <w:rsid w:val="00EE2526"/>
    <w:rsid w:val="00EE3DAF"/>
    <w:rsid w:val="00EE430E"/>
    <w:rsid w:val="00EE58ED"/>
    <w:rsid w:val="00EE755F"/>
    <w:rsid w:val="00EE7C24"/>
    <w:rsid w:val="00EF02F2"/>
    <w:rsid w:val="00EF050B"/>
    <w:rsid w:val="00EF2731"/>
    <w:rsid w:val="00EF5877"/>
    <w:rsid w:val="00EF71E4"/>
    <w:rsid w:val="00F00ABD"/>
    <w:rsid w:val="00F0188D"/>
    <w:rsid w:val="00F01CA9"/>
    <w:rsid w:val="00F02644"/>
    <w:rsid w:val="00F02A5A"/>
    <w:rsid w:val="00F0489B"/>
    <w:rsid w:val="00F05159"/>
    <w:rsid w:val="00F05382"/>
    <w:rsid w:val="00F059E5"/>
    <w:rsid w:val="00F062EE"/>
    <w:rsid w:val="00F071B4"/>
    <w:rsid w:val="00F106B8"/>
    <w:rsid w:val="00F10A82"/>
    <w:rsid w:val="00F11E4B"/>
    <w:rsid w:val="00F11E59"/>
    <w:rsid w:val="00F127CB"/>
    <w:rsid w:val="00F13645"/>
    <w:rsid w:val="00F16FF0"/>
    <w:rsid w:val="00F203C8"/>
    <w:rsid w:val="00F210F1"/>
    <w:rsid w:val="00F240FC"/>
    <w:rsid w:val="00F242C1"/>
    <w:rsid w:val="00F25422"/>
    <w:rsid w:val="00F2707F"/>
    <w:rsid w:val="00F2744B"/>
    <w:rsid w:val="00F279B2"/>
    <w:rsid w:val="00F3218D"/>
    <w:rsid w:val="00F32757"/>
    <w:rsid w:val="00F338FD"/>
    <w:rsid w:val="00F355B9"/>
    <w:rsid w:val="00F360C5"/>
    <w:rsid w:val="00F37944"/>
    <w:rsid w:val="00F40AFC"/>
    <w:rsid w:val="00F419D9"/>
    <w:rsid w:val="00F46AC4"/>
    <w:rsid w:val="00F4704E"/>
    <w:rsid w:val="00F47CE7"/>
    <w:rsid w:val="00F51AA4"/>
    <w:rsid w:val="00F53999"/>
    <w:rsid w:val="00F54C8C"/>
    <w:rsid w:val="00F550C4"/>
    <w:rsid w:val="00F5577B"/>
    <w:rsid w:val="00F559CE"/>
    <w:rsid w:val="00F56C6E"/>
    <w:rsid w:val="00F617FB"/>
    <w:rsid w:val="00F667A6"/>
    <w:rsid w:val="00F67E1E"/>
    <w:rsid w:val="00F70BC5"/>
    <w:rsid w:val="00F70FB6"/>
    <w:rsid w:val="00F736FF"/>
    <w:rsid w:val="00F73E5E"/>
    <w:rsid w:val="00F7463E"/>
    <w:rsid w:val="00F80EE2"/>
    <w:rsid w:val="00F81765"/>
    <w:rsid w:val="00F82392"/>
    <w:rsid w:val="00F83B85"/>
    <w:rsid w:val="00F83C5B"/>
    <w:rsid w:val="00F83C6E"/>
    <w:rsid w:val="00F84914"/>
    <w:rsid w:val="00F84B63"/>
    <w:rsid w:val="00F85B24"/>
    <w:rsid w:val="00F85CFD"/>
    <w:rsid w:val="00F864C4"/>
    <w:rsid w:val="00F86A4B"/>
    <w:rsid w:val="00F87F9E"/>
    <w:rsid w:val="00F91B61"/>
    <w:rsid w:val="00F92F92"/>
    <w:rsid w:val="00F9489C"/>
    <w:rsid w:val="00F95DC5"/>
    <w:rsid w:val="00F964A7"/>
    <w:rsid w:val="00F96820"/>
    <w:rsid w:val="00F968D8"/>
    <w:rsid w:val="00F96D04"/>
    <w:rsid w:val="00F979A1"/>
    <w:rsid w:val="00FA1DC6"/>
    <w:rsid w:val="00FA35B4"/>
    <w:rsid w:val="00FA715C"/>
    <w:rsid w:val="00FA7C40"/>
    <w:rsid w:val="00FA7CA4"/>
    <w:rsid w:val="00FB4723"/>
    <w:rsid w:val="00FB5EB1"/>
    <w:rsid w:val="00FB7A03"/>
    <w:rsid w:val="00FC2057"/>
    <w:rsid w:val="00FC2A2C"/>
    <w:rsid w:val="00FC352D"/>
    <w:rsid w:val="00FC39DE"/>
    <w:rsid w:val="00FC3C64"/>
    <w:rsid w:val="00FC3E15"/>
    <w:rsid w:val="00FC45C6"/>
    <w:rsid w:val="00FC4ACD"/>
    <w:rsid w:val="00FC5656"/>
    <w:rsid w:val="00FD1B8F"/>
    <w:rsid w:val="00FD2D22"/>
    <w:rsid w:val="00FD3ADB"/>
    <w:rsid w:val="00FD6F26"/>
    <w:rsid w:val="00FE0D2B"/>
    <w:rsid w:val="00FE26D2"/>
    <w:rsid w:val="00FE3E71"/>
    <w:rsid w:val="00FE4CD2"/>
    <w:rsid w:val="00FE5A63"/>
    <w:rsid w:val="00FE7070"/>
    <w:rsid w:val="00FE71BC"/>
    <w:rsid w:val="00FF291C"/>
    <w:rsid w:val="00FF459F"/>
    <w:rsid w:val="00FF5059"/>
    <w:rsid w:val="00FF5926"/>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18DD2"/>
  <w15:docId w15:val="{308F44B7-5BAB-4101-BDF3-5A86A4F0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BAB"/>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9"/>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27211"/>
    <w:pPr>
      <w:keepNext/>
      <w:keepLines/>
      <w:spacing w:before="80" w:after="40"/>
      <w:outlineLvl w:val="3"/>
    </w:pPr>
    <w:rPr>
      <w:rFonts w:eastAsiaTheme="majorEastAsia" w:cstheme="majorBidi"/>
      <w:i/>
      <w:iCs/>
      <w:color w:val="365F91" w:themeColor="accent1" w:themeShade="BF"/>
      <w:lang w:val="id-ID"/>
    </w:rPr>
  </w:style>
  <w:style w:type="paragraph" w:styleId="Heading5">
    <w:name w:val="heading 5"/>
    <w:basedOn w:val="Normal"/>
    <w:next w:val="Normal"/>
    <w:link w:val="Heading5Char"/>
    <w:uiPriority w:val="9"/>
    <w:semiHidden/>
    <w:unhideWhenUsed/>
    <w:qFormat/>
    <w:rsid w:val="00927211"/>
    <w:pPr>
      <w:keepNext/>
      <w:keepLines/>
      <w:spacing w:before="80" w:after="40"/>
      <w:outlineLvl w:val="4"/>
    </w:pPr>
    <w:rPr>
      <w:rFonts w:eastAsiaTheme="majorEastAsia" w:cstheme="majorBidi"/>
      <w:color w:val="365F91" w:themeColor="accent1" w:themeShade="BF"/>
      <w:lang w:val="id-ID"/>
    </w:rPr>
  </w:style>
  <w:style w:type="paragraph" w:styleId="Heading6">
    <w:name w:val="heading 6"/>
    <w:basedOn w:val="Normal"/>
    <w:next w:val="Normal"/>
    <w:link w:val="Heading6Char"/>
    <w:uiPriority w:val="9"/>
    <w:semiHidden/>
    <w:unhideWhenUsed/>
    <w:qFormat/>
    <w:rsid w:val="00927211"/>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927211"/>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927211"/>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927211"/>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aliases w:val="BAB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39"/>
    <w:rsid w:val="00AA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styleId="UnresolvedMention">
    <w:name w:val="Unresolved Mention"/>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styleId="TOC1">
    <w:name w:val="toc 1"/>
    <w:basedOn w:val="Normal"/>
    <w:uiPriority w:val="39"/>
    <w:qFormat/>
    <w:rsid w:val="00FA1DC6"/>
    <w:pPr>
      <w:widowControl w:val="0"/>
      <w:tabs>
        <w:tab w:val="right" w:leader="dot" w:pos="7371"/>
        <w:tab w:val="right" w:pos="7938"/>
      </w:tabs>
      <w:autoSpaceDE w:val="0"/>
      <w:autoSpaceDN w:val="0"/>
      <w:spacing w:after="0" w:line="240" w:lineRule="auto"/>
      <w:ind w:left="851" w:right="567" w:hanging="851"/>
    </w:pPr>
    <w:rPr>
      <w:rFonts w:ascii="Times New Roman" w:eastAsia="Times New Roman" w:hAnsi="Times New Roman" w:cs="Times New Roman"/>
      <w:b/>
      <w:bCs/>
      <w:sz w:val="24"/>
      <w:szCs w:val="24"/>
      <w:lang w:val="id"/>
    </w:rPr>
  </w:style>
  <w:style w:type="paragraph" w:styleId="TOC2">
    <w:name w:val="toc 2"/>
    <w:basedOn w:val="Normal"/>
    <w:uiPriority w:val="39"/>
    <w:qFormat/>
    <w:rsid w:val="00FA1DC6"/>
    <w:pPr>
      <w:widowControl w:val="0"/>
      <w:tabs>
        <w:tab w:val="right" w:leader="dot" w:pos="7371"/>
        <w:tab w:val="right" w:pos="7938"/>
      </w:tabs>
      <w:autoSpaceDE w:val="0"/>
      <w:autoSpaceDN w:val="0"/>
      <w:spacing w:after="0" w:line="240" w:lineRule="auto"/>
      <w:ind w:left="1305" w:right="567" w:hanging="454"/>
    </w:pPr>
    <w:rPr>
      <w:rFonts w:ascii="Times New Roman" w:eastAsia="Times New Roman" w:hAnsi="Times New Roman" w:cs="Times New Roman"/>
      <w:bCs/>
      <w:sz w:val="24"/>
      <w:szCs w:val="24"/>
      <w:lang w:val="id"/>
    </w:rPr>
  </w:style>
  <w:style w:type="paragraph" w:styleId="TOC3">
    <w:name w:val="toc 3"/>
    <w:basedOn w:val="Normal"/>
    <w:uiPriority w:val="39"/>
    <w:qFormat/>
    <w:rsid w:val="00FA1DC6"/>
    <w:pPr>
      <w:widowControl w:val="0"/>
      <w:tabs>
        <w:tab w:val="right" w:leader="dot" w:pos="7371"/>
        <w:tab w:val="right" w:pos="7938"/>
      </w:tabs>
      <w:autoSpaceDE w:val="0"/>
      <w:autoSpaceDN w:val="0"/>
      <w:spacing w:after="0" w:line="240" w:lineRule="auto"/>
      <w:ind w:left="1928" w:right="567" w:hanging="624"/>
    </w:pPr>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FA1DC6"/>
    <w:pPr>
      <w:widowControl w:val="0"/>
      <w:autoSpaceDE w:val="0"/>
      <w:autoSpaceDN w:val="0"/>
      <w:spacing w:before="63" w:after="0" w:line="240" w:lineRule="auto"/>
      <w:jc w:val="right"/>
    </w:pPr>
    <w:rPr>
      <w:rFonts w:ascii="Times New Roman" w:eastAsia="Times New Roman" w:hAnsi="Times New Roman" w:cs="Times New Roman"/>
      <w:lang w:val="id"/>
    </w:rPr>
  </w:style>
  <w:style w:type="table" w:styleId="TableGridLight">
    <w:name w:val="Grid Table Light"/>
    <w:basedOn w:val="TableNormal"/>
    <w:uiPriority w:val="40"/>
    <w:rsid w:val="00FA1DC6"/>
    <w:pPr>
      <w:spacing w:after="0" w:line="240" w:lineRule="auto"/>
    </w:pPr>
    <w:rPr>
      <w:lang w:val="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A1DC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ableofFigures">
    <w:name w:val="table of figures"/>
    <w:basedOn w:val="Normal"/>
    <w:next w:val="Normal"/>
    <w:uiPriority w:val="99"/>
    <w:unhideWhenUsed/>
    <w:rsid w:val="00FA1DC6"/>
    <w:pPr>
      <w:widowControl w:val="0"/>
      <w:autoSpaceDE w:val="0"/>
      <w:autoSpaceDN w:val="0"/>
      <w:spacing w:after="0" w:line="240" w:lineRule="auto"/>
      <w:ind w:left="440" w:hanging="440"/>
    </w:pPr>
    <w:rPr>
      <w:rFonts w:eastAsia="Times New Roman" w:cstheme="minorHAnsi"/>
      <w:b/>
      <w:bCs/>
      <w:sz w:val="20"/>
      <w:szCs w:val="20"/>
      <w:lang w:val="id"/>
    </w:rPr>
  </w:style>
  <w:style w:type="table" w:styleId="PlainTable1">
    <w:name w:val="Plain Table 1"/>
    <w:basedOn w:val="TableNormal"/>
    <w:uiPriority w:val="41"/>
    <w:rsid w:val="00FA1DC6"/>
    <w:pPr>
      <w:widowControl w:val="0"/>
      <w:autoSpaceDE w:val="0"/>
      <w:autoSpaceDN w:val="0"/>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1DC6"/>
    <w:pPr>
      <w:widowControl w:val="0"/>
      <w:autoSpaceDE w:val="0"/>
      <w:autoSpaceDN w:val="0"/>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A1DC6"/>
    <w:pPr>
      <w:widowControl w:val="0"/>
      <w:autoSpaceDE w:val="0"/>
      <w:autoSpaceDN w:val="0"/>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1">
    <w:name w:val="p1"/>
    <w:basedOn w:val="Normal"/>
    <w:rsid w:val="00853E7F"/>
    <w:pPr>
      <w:spacing w:after="0" w:line="240" w:lineRule="auto"/>
    </w:pPr>
    <w:rPr>
      <w:rFonts w:ascii=".AppleSystemUIFont" w:eastAsiaTheme="minorEastAsia" w:hAnsi=".AppleSystemUIFont" w:cs="Times New Roman"/>
      <w:sz w:val="26"/>
      <w:szCs w:val="26"/>
    </w:rPr>
  </w:style>
  <w:style w:type="character" w:customStyle="1" w:styleId="s1">
    <w:name w:val="s1"/>
    <w:basedOn w:val="DefaultParagraphFont"/>
    <w:rsid w:val="00853E7F"/>
    <w:rPr>
      <w:rFonts w:ascii="UICTFontTextStyleItalicBody" w:hAnsi="UICTFontTextStyleItalicBody" w:hint="default"/>
      <w:b w:val="0"/>
      <w:bCs w:val="0"/>
      <w:i/>
      <w:iCs/>
      <w:sz w:val="26"/>
      <w:szCs w:val="26"/>
    </w:rPr>
  </w:style>
  <w:style w:type="character" w:customStyle="1" w:styleId="s2">
    <w:name w:val="s2"/>
    <w:basedOn w:val="DefaultParagraphFont"/>
    <w:rsid w:val="00916F33"/>
    <w:rPr>
      <w:rFonts w:ascii="UICTFontTextStyleItalicBody" w:hAnsi="UICTFontTextStyleItalicBody" w:hint="default"/>
      <w:b w:val="0"/>
      <w:bCs w:val="0"/>
      <w:i/>
      <w:iCs/>
      <w:sz w:val="26"/>
      <w:szCs w:val="26"/>
    </w:rPr>
  </w:style>
  <w:style w:type="paragraph" w:customStyle="1" w:styleId="whitespace-normal">
    <w:name w:val="whitespace-normal"/>
    <w:basedOn w:val="Normal"/>
    <w:rsid w:val="007E447C"/>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7E447C"/>
  </w:style>
  <w:style w:type="character" w:customStyle="1" w:styleId="Heading4Char">
    <w:name w:val="Heading 4 Char"/>
    <w:basedOn w:val="DefaultParagraphFont"/>
    <w:link w:val="Heading4"/>
    <w:uiPriority w:val="9"/>
    <w:semiHidden/>
    <w:rsid w:val="00927211"/>
    <w:rPr>
      <w:rFonts w:eastAsiaTheme="majorEastAsia" w:cstheme="majorBidi"/>
      <w:i/>
      <w:iCs/>
      <w:color w:val="365F91" w:themeColor="accent1" w:themeShade="BF"/>
      <w:lang w:val="id-ID"/>
    </w:rPr>
  </w:style>
  <w:style w:type="character" w:customStyle="1" w:styleId="Heading5Char">
    <w:name w:val="Heading 5 Char"/>
    <w:basedOn w:val="DefaultParagraphFont"/>
    <w:link w:val="Heading5"/>
    <w:uiPriority w:val="9"/>
    <w:semiHidden/>
    <w:rsid w:val="00927211"/>
    <w:rPr>
      <w:rFonts w:eastAsiaTheme="majorEastAsia" w:cstheme="majorBidi"/>
      <w:color w:val="365F91" w:themeColor="accent1" w:themeShade="BF"/>
      <w:lang w:val="id-ID"/>
    </w:rPr>
  </w:style>
  <w:style w:type="character" w:customStyle="1" w:styleId="Heading6Char">
    <w:name w:val="Heading 6 Char"/>
    <w:basedOn w:val="DefaultParagraphFont"/>
    <w:link w:val="Heading6"/>
    <w:uiPriority w:val="9"/>
    <w:semiHidden/>
    <w:rsid w:val="00927211"/>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27211"/>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27211"/>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27211"/>
    <w:rPr>
      <w:rFonts w:eastAsiaTheme="majorEastAsia" w:cstheme="majorBidi"/>
      <w:color w:val="272727" w:themeColor="text1" w:themeTint="D8"/>
      <w:lang w:val="id-ID"/>
    </w:rPr>
  </w:style>
  <w:style w:type="paragraph" w:styleId="Subtitle">
    <w:name w:val="Subtitle"/>
    <w:basedOn w:val="Normal"/>
    <w:next w:val="Normal"/>
    <w:link w:val="SubtitleChar"/>
    <w:uiPriority w:val="11"/>
    <w:qFormat/>
    <w:rsid w:val="00927211"/>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927211"/>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927211"/>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927211"/>
    <w:rPr>
      <w:i/>
      <w:iCs/>
      <w:color w:val="404040" w:themeColor="text1" w:themeTint="BF"/>
      <w:lang w:val="id-ID"/>
    </w:rPr>
  </w:style>
  <w:style w:type="character" w:styleId="IntenseEmphasis">
    <w:name w:val="Intense Emphasis"/>
    <w:basedOn w:val="DefaultParagraphFont"/>
    <w:uiPriority w:val="21"/>
    <w:qFormat/>
    <w:rsid w:val="00927211"/>
    <w:rPr>
      <w:i/>
      <w:iCs/>
      <w:color w:val="365F91" w:themeColor="accent1" w:themeShade="BF"/>
    </w:rPr>
  </w:style>
  <w:style w:type="paragraph" w:styleId="IntenseQuote">
    <w:name w:val="Intense Quote"/>
    <w:basedOn w:val="Normal"/>
    <w:next w:val="Normal"/>
    <w:link w:val="IntenseQuoteChar"/>
    <w:uiPriority w:val="30"/>
    <w:qFormat/>
    <w:rsid w:val="009272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id-ID"/>
    </w:rPr>
  </w:style>
  <w:style w:type="character" w:customStyle="1" w:styleId="IntenseQuoteChar">
    <w:name w:val="Intense Quote Char"/>
    <w:basedOn w:val="DefaultParagraphFont"/>
    <w:link w:val="IntenseQuote"/>
    <w:uiPriority w:val="30"/>
    <w:rsid w:val="00927211"/>
    <w:rPr>
      <w:i/>
      <w:iCs/>
      <w:color w:val="365F91" w:themeColor="accent1" w:themeShade="BF"/>
      <w:lang w:val="id-ID"/>
    </w:rPr>
  </w:style>
  <w:style w:type="character" w:styleId="IntenseReference">
    <w:name w:val="Intense Reference"/>
    <w:basedOn w:val="DefaultParagraphFont"/>
    <w:uiPriority w:val="32"/>
    <w:qFormat/>
    <w:rsid w:val="00927211"/>
    <w:rPr>
      <w:b/>
      <w:bCs/>
      <w:smallCaps/>
      <w:color w:val="365F91" w:themeColor="accent1" w:themeShade="BF"/>
      <w:spacing w:val="5"/>
    </w:rPr>
  </w:style>
  <w:style w:type="table" w:styleId="PlainTable5">
    <w:name w:val="Plain Table 5"/>
    <w:basedOn w:val="TableNormal"/>
    <w:uiPriority w:val="45"/>
    <w:rsid w:val="00927211"/>
    <w:pPr>
      <w:spacing w:after="0" w:line="240" w:lineRule="auto"/>
    </w:pPr>
    <w:rPr>
      <w:kern w:val="2"/>
      <w:sz w:val="24"/>
      <w:szCs w:val="24"/>
      <w:lang w:val="en-ID"/>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8351553">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71801957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 w:id="143359283">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515459954">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663122292">
              <w:marLeft w:val="0"/>
              <w:marRight w:val="0"/>
              <w:marTop w:val="0"/>
              <w:marBottom w:val="0"/>
              <w:divBdr>
                <w:top w:val="none" w:sz="0" w:space="0" w:color="auto"/>
                <w:left w:val="none" w:sz="0" w:space="0" w:color="auto"/>
                <w:bottom w:val="none" w:sz="0" w:space="0" w:color="auto"/>
                <w:right w:val="none" w:sz="0" w:space="0" w:color="auto"/>
              </w:divBdr>
              <w:divsChild>
                <w:div w:id="557787571">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254368472">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544559838">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861089">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sChild>
            </w:div>
            <w:div w:id="186525357">
              <w:marLeft w:val="0"/>
              <w:marRight w:val="0"/>
              <w:marTop w:val="0"/>
              <w:marBottom w:val="0"/>
              <w:divBdr>
                <w:top w:val="none" w:sz="0" w:space="0" w:color="auto"/>
                <w:left w:val="none" w:sz="0" w:space="0" w:color="auto"/>
                <w:bottom w:val="none" w:sz="0" w:space="0" w:color="auto"/>
                <w:right w:val="none" w:sz="0" w:space="0" w:color="auto"/>
              </w:divBdr>
              <w:divsChild>
                <w:div w:id="2105496154">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41830609">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8867">
      <w:bodyDiv w:val="1"/>
      <w:marLeft w:val="0"/>
      <w:marRight w:val="0"/>
      <w:marTop w:val="0"/>
      <w:marBottom w:val="0"/>
      <w:divBdr>
        <w:top w:val="none" w:sz="0" w:space="0" w:color="auto"/>
        <w:left w:val="none" w:sz="0" w:space="0" w:color="auto"/>
        <w:bottom w:val="none" w:sz="0" w:space="0" w:color="auto"/>
        <w:right w:val="none" w:sz="0" w:space="0" w:color="auto"/>
      </w:divBdr>
      <w:divsChild>
        <w:div w:id="1502625335">
          <w:marLeft w:val="540"/>
          <w:marRight w:val="0"/>
          <w:marTop w:val="0"/>
          <w:marBottom w:val="0"/>
          <w:divBdr>
            <w:top w:val="none" w:sz="0" w:space="0" w:color="auto"/>
            <w:left w:val="none" w:sz="0" w:space="0" w:color="auto"/>
            <w:bottom w:val="none" w:sz="0" w:space="0" w:color="auto"/>
            <w:right w:val="none" w:sz="0" w:space="0" w:color="auto"/>
          </w:divBdr>
        </w:div>
        <w:div w:id="1457062880">
          <w:marLeft w:val="540"/>
          <w:marRight w:val="0"/>
          <w:marTop w:val="0"/>
          <w:marBottom w:val="0"/>
          <w:divBdr>
            <w:top w:val="none" w:sz="0" w:space="0" w:color="auto"/>
            <w:left w:val="none" w:sz="0" w:space="0" w:color="auto"/>
            <w:bottom w:val="none" w:sz="0" w:space="0" w:color="auto"/>
            <w:right w:val="none" w:sz="0" w:space="0" w:color="auto"/>
          </w:divBdr>
        </w:div>
        <w:div w:id="802162743">
          <w:marLeft w:val="540"/>
          <w:marRight w:val="0"/>
          <w:marTop w:val="0"/>
          <w:marBottom w:val="0"/>
          <w:divBdr>
            <w:top w:val="none" w:sz="0" w:space="0" w:color="auto"/>
            <w:left w:val="none" w:sz="0" w:space="0" w:color="auto"/>
            <w:bottom w:val="none" w:sz="0" w:space="0" w:color="auto"/>
            <w:right w:val="none" w:sz="0" w:space="0" w:color="auto"/>
          </w:divBdr>
        </w:div>
        <w:div w:id="520702771">
          <w:marLeft w:val="540"/>
          <w:marRight w:val="0"/>
          <w:marTop w:val="0"/>
          <w:marBottom w:val="0"/>
          <w:divBdr>
            <w:top w:val="none" w:sz="0" w:space="0" w:color="auto"/>
            <w:left w:val="none" w:sz="0" w:space="0" w:color="auto"/>
            <w:bottom w:val="none" w:sz="0" w:space="0" w:color="auto"/>
            <w:right w:val="none" w:sz="0" w:space="0" w:color="auto"/>
          </w:divBdr>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18453272">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174005270">
      <w:bodyDiv w:val="1"/>
      <w:marLeft w:val="0"/>
      <w:marRight w:val="0"/>
      <w:marTop w:val="0"/>
      <w:marBottom w:val="0"/>
      <w:divBdr>
        <w:top w:val="none" w:sz="0" w:space="0" w:color="auto"/>
        <w:left w:val="none" w:sz="0" w:space="0" w:color="auto"/>
        <w:bottom w:val="none" w:sz="0" w:space="0" w:color="auto"/>
        <w:right w:val="none" w:sz="0" w:space="0" w:color="auto"/>
      </w:divBdr>
    </w:div>
    <w:div w:id="184641964">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71009861">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307827093">
      <w:bodyDiv w:val="1"/>
      <w:marLeft w:val="0"/>
      <w:marRight w:val="0"/>
      <w:marTop w:val="0"/>
      <w:marBottom w:val="0"/>
      <w:divBdr>
        <w:top w:val="none" w:sz="0" w:space="0" w:color="auto"/>
        <w:left w:val="none" w:sz="0" w:space="0" w:color="auto"/>
        <w:bottom w:val="none" w:sz="0" w:space="0" w:color="auto"/>
        <w:right w:val="none" w:sz="0" w:space="0" w:color="auto"/>
      </w:divBdr>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49656859">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0136847">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690303223">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747070864">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481287">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40911315">
      <w:bodyDiv w:val="1"/>
      <w:marLeft w:val="0"/>
      <w:marRight w:val="0"/>
      <w:marTop w:val="0"/>
      <w:marBottom w:val="0"/>
      <w:divBdr>
        <w:top w:val="none" w:sz="0" w:space="0" w:color="auto"/>
        <w:left w:val="none" w:sz="0" w:space="0" w:color="auto"/>
        <w:bottom w:val="none" w:sz="0" w:space="0" w:color="auto"/>
        <w:right w:val="none" w:sz="0" w:space="0" w:color="auto"/>
      </w:divBdr>
    </w:div>
    <w:div w:id="941568006">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1005009813">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063337870">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093007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43976680">
      <w:bodyDiv w:val="1"/>
      <w:marLeft w:val="0"/>
      <w:marRight w:val="0"/>
      <w:marTop w:val="0"/>
      <w:marBottom w:val="0"/>
      <w:divBdr>
        <w:top w:val="none" w:sz="0" w:space="0" w:color="auto"/>
        <w:left w:val="none" w:sz="0" w:space="0" w:color="auto"/>
        <w:bottom w:val="none" w:sz="0" w:space="0" w:color="auto"/>
        <w:right w:val="none" w:sz="0" w:space="0" w:color="auto"/>
      </w:divBdr>
    </w:div>
    <w:div w:id="1381320955">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36247820">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566330124">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695882512">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838959112">
      <w:bodyDiv w:val="1"/>
      <w:marLeft w:val="0"/>
      <w:marRight w:val="0"/>
      <w:marTop w:val="0"/>
      <w:marBottom w:val="0"/>
      <w:divBdr>
        <w:top w:val="none" w:sz="0" w:space="0" w:color="auto"/>
        <w:left w:val="none" w:sz="0" w:space="0" w:color="auto"/>
        <w:bottom w:val="none" w:sz="0" w:space="0" w:color="auto"/>
        <w:right w:val="none" w:sz="0" w:space="0" w:color="auto"/>
      </w:divBdr>
    </w:div>
    <w:div w:id="1926069376">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19652919">
      <w:bodyDiv w:val="1"/>
      <w:marLeft w:val="0"/>
      <w:marRight w:val="0"/>
      <w:marTop w:val="0"/>
      <w:marBottom w:val="0"/>
      <w:divBdr>
        <w:top w:val="none" w:sz="0" w:space="0" w:color="auto"/>
        <w:left w:val="none" w:sz="0" w:space="0" w:color="auto"/>
        <w:bottom w:val="none" w:sz="0" w:space="0" w:color="auto"/>
        <w:right w:val="none" w:sz="0" w:space="0" w:color="auto"/>
      </w:divBdr>
    </w:div>
    <w:div w:id="205927730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0929690">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099910398">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 w:id="2113044317">
      <w:bodyDiv w:val="1"/>
      <w:marLeft w:val="0"/>
      <w:marRight w:val="0"/>
      <w:marTop w:val="0"/>
      <w:marBottom w:val="0"/>
      <w:divBdr>
        <w:top w:val="none" w:sz="0" w:space="0" w:color="auto"/>
        <w:left w:val="none" w:sz="0" w:space="0" w:color="auto"/>
        <w:bottom w:val="none" w:sz="0" w:space="0" w:color="auto"/>
        <w:right w:val="none" w:sz="0" w:space="0" w:color="auto"/>
      </w:divBdr>
    </w:div>
    <w:div w:id="213544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0601/humaniora.v8i2.5967"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eprints.ipdn.ac.id/2402/1/Buk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creativecommons.org/licenses/by-nc/4.0/" TargetMode="External"/><Relationship Id="rId10" Type="http://schemas.openxmlformats.org/officeDocument/2006/relationships/hyperlink" Target="http://jurnal.abulyatama.ac.id/index.php/humanior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CF2DB-530C-4A21-A81D-CC8AFDB2CC31}">
  <we:reference id="wa104382081" version="1.55.1.0" store="en-US" storeType="OMEX"/>
  <we:alternateReferences>
    <we:reference id="wa104382081" version="1.55.1.0" store="" storeType="OMEX"/>
  </we:alternateReferences>
  <we:properties>
    <we:property name="MENDELEY_CITATIONS" value="[{&quot;citationID&quot;:&quot;MENDELEY_CITATION_c3ded9a3-0a82-45fa-b7ea-a121cf04976a&quot;,&quot;properties&quot;:{&quot;noteIndex&quot;:0},&quot;isEdited&quot;:false,&quot;manualOverride&quot;:{&quot;isManuallyOverridden&quot;:false,&quot;citeprocText&quot;:&quot;[1]&quot;,&quot;manualOverrideText&quot;:&quot;&quot;},&quot;citationItems&quot;:[{&quot;id&quot;:&quot;a7b78789-9d1d-3b0c-a592-4cf09ba4648d&quot;,&quot;itemData&quot;:{&quot;type&quot;:&quot;article-journal&quot;,&quot;id&quot;:&quot;a7b78789-9d1d-3b0c-a592-4cf09ba4648d&quot;,&quot;title&quot;:&quot;A Review of the Linear Generator Type of Wave Energy Converters’ Power Take-Off Systems&quot;,&quot;author&quot;:[{&quot;family&quot;:&quot;Ahamed&quot;,&quot;given&quot;:&quot;Raju&quot;,&quot;parse-names&quot;:false,&quot;dropping-particle&quot;:&quot;&quot;,&quot;non-dropping-particle&quot;:&quot;&quot;},{&quot;family&quot;:&quot;McKee&quot;,&quot;given&quot;:&quot;Kristoffer&quot;,&quot;parse-names&quot;:false,&quot;dropping-particle&quot;:&quot;&quot;,&quot;non-dropping-particle&quot;:&quot;&quot;},{&quot;family&quot;:&quot;Howard&quot;,&quot;given&quot;:&quot;Ian&quot;,&quot;parse-names&quot;:false,&quot;dropping-particle&quot;:&quot;&quot;,&quot;non-dropping-particle&quot;:&quot;&quot;}],&quot;container-title&quot;:&quot;Sustainability&quot;,&quot;container-title-short&quot;:&quot;Sustainability&quot;,&quot;ISSN&quot;:&quot;2071-1050&quot;,&quot;issued&quot;:{&quot;date-parts&quot;:[[2022]]},&quot;page&quot;:&quot;9936&quot;,&quot;publisher&quot;:&quot;MDPI&quot;,&quot;issue&quot;:&quot;16&quot;,&quot;volume&quot;:&quot;14&quot;},&quot;isTemporary&quot;:false}],&quot;citationTag&quot;:&quot;MENDELEY_CITATION_v3_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k5MzYiLCJwdWJsaXNoZXIiOiJNRFBJIiwiaXNzdWUiOiIxNiIsInZvbHVtZSI6IjE0In0sImlzVGVtcG9yYXJ5IjpmYWxzZX1dfQ==&quot;},{&quot;citationID&quot;:&quot;MENDELEY_CITATION_d87a9761-b3cb-482e-b44e-1d8cfd4cb03c&quot;,&quot;properties&quot;:{&quot;noteIndex&quot;:0},&quot;isEdited&quot;:false,&quot;manualOverride&quot;:{&quot;isManuallyOverridden&quot;:false,&quot;citeprocText&quot;:&quot;[2]&quot;,&quot;manualOverrideText&quot;:&quot;&quot;},&quot;citationItems&quot;:[{&quot;id&quot;:&quot;cdd14798-7e39-3172-b9c9-ac60609ce51b&quot;,&quot;itemData&quot;:{&quot;type&quot;:&quot;article-journal&quot;,&quot;id&quot;:&quot;cdd14798-7e39-3172-b9c9-ac60609ce51b&quot;,&quot;title&quot;:&quot;Review of Wave Energy Converter and Design of Mooring System&quot;,&quot;author&quot;:[{&quot;family&quot;:&quot;Qiao&quot;,&quot;given&quot;:&quot;Dongsheng&quot;,&quot;parse-names&quot;:false,&quot;dropping-particle&quot;:&quot;&quot;,&quot;non-dropping-particle&quot;:&quot;&quot;},{&quot;family&quot;:&quot;Haider&quot;,&quot;given&quot;:&quot;Rizwan&quot;,&quot;parse-names&quot;:false,&quot;dropping-particle&quot;:&quot;&quot;,&quot;non-dropping-particle&quot;:&quot;&quot;},{&quot;family&quot;:&quot;Yan&quot;,&quot;given&quot;:&quot;Jun&quot;,&quot;parse-names&quot;:false,&quot;dropping-particle&quot;:&quot;&quot;,&quot;non-dropping-particle&quot;:&quot;&quot;},{&quot;family&quot;:&quot;Ning&quot;,&quot;given&quot;:&quot;Dezhi&quot;,&quot;parse-names&quot;:false,&quot;dropping-particle&quot;:&quot;&quot;,&quot;non-dropping-particle&quot;:&quot;&quot;},{&quot;family&quot;:&quot;Li&quot;,&quot;given&quot;:&quot;Binbin&quot;,&quot;parse-names&quot;:false,&quot;dropping-particle&quot;:&quot;&quot;,&quot;non-dropping-particle&quot;:&quot;&quot;}],&quot;container-title&quot;:&quot;Sustainability&quot;,&quot;container-title-short&quot;:&quot;Sustainability&quot;,&quot;DOI&quot;:&quot;10.3390/su12198251&quot;,&quot;ISSN&quot;:&quot;2071-1050&quot;,&quot;URL&quot;:&quot;https://www.mdpi.com/2071-1050/12/19/8251&quot;,&quot;issued&quot;:{&quot;date-parts&quot;:[[2020]]},&quot;abstract&quot;:&quot;In recent decades, the emphasis on renewable resources has grown considerably, leading to significant advances in the sector of wave energy. Nevertheless, the market cannot still be considered as commercialized, as there are still other obstacles in the mooring system for wave energy converters (WECs). The mooring system must be designed to not negatively impact the WEC&amp;rsquo;s efficiency and reduce the mooring loads. Firstly, the overview of the types of wave energy converters (WECs) are classified through operational principle, absorbing wave direction, location, and power take-off, respectively, and the power production analysis and design challenges of WECs are summarized. Then, the mooring materials, configurations, requirements, and the modeling approaches for WECs are introduced. Finally, the design of mooring systems, including the design considerations and standards, analysis models, software, current research focus, and challenges are discussed.&quot;,&quot;issue&quot;:&quot;19&quot;,&quot;volume&quot;:&quot;12&quot;},&quot;isTemporary&quot;:false}],&quot;citationTag&quot;:&quot;MENDELEY_CITATION_v3_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&quot;},{&quot;citationID&quot;:&quot;MENDELEY_CITATION_b9a9b4cf-1626-455a-8b8a-4a3dd6d0600c&quot;,&quot;properties&quot;:{&quot;noteIndex&quot;:0},&quot;isEdited&quot;:false,&quot;manualOverride&quot;:{&quot;isManuallyOverridden&quot;:false,&quot;citeprocText&quot;:&quot;[3]&quot;,&quot;manualOverrideText&quot;:&quot;&quot;},&quot;citationItems&quot;:[{&quot;id&quot;:&quot;dd69abf7-2cda-3248-9619-8e673a0d731d&quot;,&quot;itemData&quot;:{&quot;type&quot;:&quot;paper-conference&quot;,&quot;id&quot;:&quot;dd69abf7-2cda-3248-9619-8e673a0d731d&quot;,&quot;title&quot;:&quot;Analytical design and optimization of flat-quasi linear generator for sea wave power plant in South Java Ocean&quot;,&quot;author&quot;:[{&quot;family&quot;:&quot;Danang Wijaya&quot;,&quot;given&quot;:&quot;Fransisco&quot;,&quot;parse-names&quot;:false,&quot;dropping-particle&quot;:&quot;&quot;,&quot;non-dropping-particle&quot;:&quot;&quot;},{&quot;family&quot;:&quot;Azhari&quot;,&quot;given&quot;:&quot;Budi&quot;,&quot;parse-names&quot;:false,&quot;dropping-particle&quot;:&quot;&quot;,&quot;non-dropping-particle&quot;:&quot;&quot;}],&quot;container-title&quot;:&quot;2016 8th International Conference on Information Technology and Electrical Engineering (ICITEE)&quot;,&quot;DOI&quot;:&quot;10.1109/ICITEED.2016.7863276&quot;,&quot;issued&quot;:{&quot;date-parts&quot;:[[2016]]},&quot;page&quot;:&quot;1-6&quot;,&quot;container-title-short&quot;:&quot;&quot;},&quot;isTemporary&quot;:false}],&quot;citationTag&quot;:&quot;MENDELEY_CITATION_v3_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&quot;},{&quot;citationID&quot;:&quot;MENDELEY_CITATION_d7ec1c5c-a21c-4c39-8bab-02f0faf3c2e2&quot;,&quot;properties&quot;:{&quot;noteIndex&quot;:0},&quot;isEdited&quot;:false,&quot;manualOverride&quot;:{&quot;isManuallyOverridden&quot;:false,&quot;citeprocText&quot;:&quot;[4]&quot;,&quot;manualOverrideText&quot;:&quot;&quot;},&quot;citationItems&quot;:[{&quot;id&quot;:&quot;5c9b651a-990d-3b83-90ed-1b9e2c85d5f7&quot;,&quot;itemData&quot;:{&quot;type&quot;:&quot;article-journal&quot;,&quot;id&quot;:&quot;5c9b651a-990d-3b83-90ed-1b9e2c85d5f7&quot;,&quot;title&quot;:&quot;Pemodelan Sistem Hidrolis Terhadap Variasi Tinggi Gelombang Air Laut Pada Sistem Wave Energy Hyperbaric Converter (WEHC)&quot;,&quot;author&quot;:[{&quot;family&quot;:&quot;Felayati&quot;,&quot;given&quot;:&quot;Frengki Mohamad&quot;,&quot;parse-names&quot;:false,&quot;dropping-particle&quot;:&quot;&quot;,&quot;non-dropping-particle&quot;:&quot;&quot;},{&quot;family&quot;:&quot;Nugroho&quot;,&quot;given&quot;:&quot;Taufik Fajar&quot;,&quot;parse-names&quot;:false,&quot;dropping-particle&quot;:&quot;&quot;,&quot;non-dropping-particle&quot;:&quot;&quot;},{&quot;family&quot;:&quot;Purwono&quot;,&quot;given&quot;:&quot;Sutopo&quot;,&quot;parse-names&quot;:false,&quot;dropping-particle&quot;:&quot;&quot;,&quot;non-dropping-particle&quot;:&quot;&quot;}],&quot;container-title&quot;:&quot;Jurnal Teknik ITS&quot;,&quot;ISSN&quot;:&quot;2337-3539&quot;,&quot;issued&quot;:{&quot;date-parts&quot;:[[2016]]},&quot;page&quot;:&quot;B140-B144&quot;,&quot;issue&quot;:&quot;2&quot;,&quot;volume&quot;:&quot;4&quot;,&quot;container-title-short&quot;:&quot;&quot;},&quot;isTemporary&quot;:false}],&quot;citationTag&quot;:&quot;MENDELEY_CITATION_v3_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&quot;},{&quot;citationID&quot;:&quot;MENDELEY_CITATION_d3f423e6-f656-4170-ac7c-f7da5756537b&quot;,&quot;properties&quot;:{&quot;noteIndex&quot;:0},&quot;isEdited&quot;:false,&quot;manualOverride&quot;:{&quot;isManuallyOverridden&quot;:false,&quot;citeprocText&quot;:&quot;[5]&quot;,&quot;manualOverrideText&quot;:&quot;&quot;},&quot;citationItems&quot;:[{&quot;id&quot;:&quot;03e2e423-c49d-376d-a7a3-9077ed8ecdec&quot;,&quot;itemData&quot;:{&quot;type&quot;:&quot;article-journal&quot;,&quot;id&quot;:&quot;03e2e423-c49d-376d-a7a3-9077ed8ecdec&quot;,&quot;title&quot;:&quot;Longevity-conscious dimensioning and power management of the hybrid energy storage system in a fuel cell hybrid electric bus&quot;,&quot;author&quot;:[{&quot;family&quot;:&quot;Hu&quot;,&quot;given&quot;:&quot;Xiaosong&quot;,&quot;parse-names&quot;:false,&quot;dropping-particle&quot;:&quot;&quot;,&quot;non-dropping-particle&quot;:&quot;&quot;},{&quot;family&quot;:&quot;Johannesson&quot;,&quot;given&quot;:&quot;Lars&quot;,&quot;parse-names&quot;:false,&quot;dropping-particle&quot;:&quot;&quot;,&quot;non-dropping-particle&quot;:&quot;&quot;},{&quot;family&quot;:&quot;Murgovski&quot;,&quot;given&quot;:&quot;Nikolce&quot;,&quot;parse-names&quot;:false,&quot;dropping-particle&quot;:&quot;&quot;,&quot;non-dropping-particle&quot;:&quot;&quot;},{&quot;family&quot;:&quot;Egardt&quot;,&quot;given&quot;:&quot;Bo&quot;,&quot;parse-names&quot;:false,&quot;dropping-particle&quot;:&quot;&quot;,&quot;non-dropping-particle&quot;:&quot;&quot;}],&quot;container-title&quot;:&quot;Applied Energy&quot;,&quot;container-title-short&quot;:&quot;Appl Energy&quot;,&quot;DOI&quot;:&quot;https://doi.org/10.1016/j.apenergy.2014.05.013&quot;,&quot;ISSN&quot;:&quot;0306-2619&quot;,&quot;URL&quot;:&quot;https://www.sciencedirect.com/science/article/pii/S030626191400508X&quot;,&quot;issued&quot;:{&quot;date-parts&quot;:[[2015]]},&quot;page&quot;:&quot;913-924&quot;,&quot;abstract&quot;:&quot;Energy storage systems (ESSs) play an important role in the performance and economy of electrified vehicles. Hybrid energy storage system (HESS) combining both lithium-ion cells and supercapacitors is one of the most promising solutions. This paper discusses the optimal HESS dimensioning and energy management of a fuel cell hybrid electric bus. Three novel contributions are added to the relevant literature. First, efficient convex programming is used to simultaneously optimize the HESS dimension (including sizes of both the lithium-ion battery pack and the supercapacitor stack) and the power allocation between the HESS and the fuel cell system (FCS) of the hybrid bus. In the combined plant/controller optimization problem, a dynamic battery State-of-Health (SOH) model is integrated to quantitatively examine the impact of the battery replacement strategy on both the HESS size and the bus economy. Second, the HESS and the battery-only ESS options are systematically compared in the proposed optimization framework. Finally, the battery-health-perceptive HESS optimization outcome is contrasted to the ideal one neglecting the battery degradation (assuming that the battery is durable over the bus service period without deliberate power regulation).&quot;,&quot;volume&quot;:&quot;137&quot;},&quot;isTemporary&quot;:false}],&quot;citationTag&quot;:&quot;MENDELEY_CITATION_v3_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&quot;},{&quot;citationID&quot;:&quot;MENDELEY_CITATION_af71599a-cfb1-43cc-89c4-36bc1ffe4c35&quot;,&quot;properties&quot;:{&quot;noteIndex&quot;:0},&quot;isEdited&quot;:false,&quot;manualOverride&quot;:{&quot;isManuallyOverridden&quot;:false,&quot;citeprocText&quot;:&quot;[6]–[8]&quot;,&quot;manualOverrideText&quot;:&quot;&quot;},&quot;citationItems&quot;:[{&quot;id&quot;:&quot;11638857-93a9-33d2-9a92-a896c889790c&quot;,&quot;itemData&quot;:{&quot;type&quot;:&quot;article-journal&quot;,&quot;id&quot;:&quot;11638857-93a9-33d2-9a92-a896c889790c&quot;,&quot;title&quot;:&quot;Virtual-battery based droop control and energy storage system size optimization of a DC microgrid for electric vehicle fast charging station&quot;,&quot;author&quot;:[{&quot;family&quot;:&quot;Wang&quot;,&quot;given&quot;:&quot;Shuoqi&quot;,&quot;parse-names&quot;:false,&quot;dropping-particle&quot;:&quot;&quot;,&quot;non-dropping-particle&quot;:&quot;&quot;},{&quot;family&quot;:&quot;Lu&quot;,&quot;given&quot;:&quot;Languang&quot;,&quot;parse-names&quot;:false,&quot;dropping-particle&quot;:&quot;&quot;,&quot;non-dropping-particle&quot;:&quot;&quot;},{&quot;family&quot;:&quot;Han&quot;,&quot;given&quot;:&quot;Xuebing&quot;,&quot;parse-names&quot;:false,&quot;dropping-particle&quot;:&quot;&quot;,&quot;non-dropping-particle&quot;:&quot;&quot;},{&quot;family&quot;:&quot;Ouyang&quot;,&quot;given&quot;:&quot;Minggao&quot;,&quot;parse-names&quot;:false,&quot;dropping-particle&quot;:&quot;&quot;,&quot;non-dropping-particle&quot;:&quot;&quot;},{&quot;family&quot;:&quot;Feng&quot;,&quot;given&quot;:&quot;Xuning&quot;,&quot;parse-names&quot;:false,&quot;dropping-particle&quot;:&quot;&quot;,&quot;non-dropping-particle&quot;:&quot;&quot;}],&quot;container-title&quot;:&quot;Applied Energy&quot;,&quot;container-title-short&quot;:&quot;Appl Energy&quot;,&quot;DOI&quot;:&quot;https://doi.org/10.1016/j.apenergy.2019.114146&quot;,&quot;ISSN&quot;:&quot;0306-2619&quot;,&quot;URL&quot;:&quot;https://www.sciencedirect.com/science/article/pii/S0306261919318331&quot;,&quot;issued&quot;:{&quot;date-parts&quot;:[[2020]]},&quot;page&quot;:&quot;114146&quot;,&quot;abstract&quot;:&quot;DC microgrid is supposed to be a feasible solution to reduce the negative impact of electric vehicle (EV) fast charging on the electric grid and improve the penetration of photovoltaics (PV) generation. In this paper, an improved decentralized Virtual-battery based droop control with the capability of bus voltage maintenance, load power dispatch and SOC balance of the energy storage system (ESS) is proposed to ensure the autonomous and stable operation of the DC microgrid. The reference output voltage and virtual resistance in the droop control loop are altered dynamically based on the Virtual-battery model of the ESS. The coordinated control among the PV-ESS-Grid integrated system is realized through the primary Bus-Signaling control, where the reference voltages at which the control modes of the PV array and the grid are switched are designed based on the VirtualOCV of the ESS. The effectiveness of the proposed control strategy is validated in MATLAB/Simulink environment with an equivalent bus capacitance-based model where the EV charging profile is obtained from real-world charging data of a fast charging station. The merits of the control strategy including higher PV utilization, less frequent connection of the grid and more precise voltage tracking are highlighted in comparison with the conventional droop control strategy. Finally, the sizing of the ESSs is optimized based on the total cost of the DC microgrid, including the daily electricity cost purchased from the grid and the depreciation cost of the ESSs based on the expanded capacity degradation model of Li-ion batteries.&quot;,&quot;volume&quot;:&quot;259&quot;},&quot;isTemporary&quot;:false},{&quot;id&quot;:&quot;4144e52a-7a79-34b4-8df5-ad2b66ff009e&quot;,&quot;itemData&quot;:{&quot;type&quot;:&quot;article-journal&quot;,&quot;id&quot;:&quot;4144e52a-7a79-34b4-8df5-ad2b66ff009e&quot;,&quot;title&quot;:&quot;Optimal Sizing of Battery Energy Storage System in a Fast EV Charging Station Considering Power Outages&quot;,&quot;author&quot;:[{&quot;family&quot;:&quot;Hussain&quot;,&quot;given&quot;:&quot;A&quot;,&quot;parse-names&quot;:false,&quot;dropping-particle&quot;:&quot;&quot;,&quot;non-dropping-particle&quot;:&quot;&quot;},{&quot;family&quot;:&quot;Bui&quot;,&quot;given&quot;:&quot;V -H.&quot;,&quot;parse-names&quot;:false,&quot;dropping-particle&quot;:&quot;&quot;,&quot;non-dropping-particle&quot;:&quot;&quot;},{&quot;family&quot;:&quot;Kim&quot;,&quot;given&quot;:&quot;H -M.&quot;,&quot;parse-names&quot;:false,&quot;dropping-particle&quot;:&quot;&quot;,&quot;non-dropping-particle&quot;:&quot;&quot;}],&quot;container-title&quot;:&quot;IEEE Transactions on Transportation Electrification&quot;,&quot;DOI&quot;:&quot;10.1109/TTE.2020.2980744&quot;,&quot;ISSN&quot;:&quot;2332-7782&quot;,&quot;issued&quot;:{&quot;date-parts&quot;:[[2020]]},&quot;page&quot;:&quot;453-463&quot;,&quot;issue&quot;:&quot;2&quot;,&quot;volume&quot;:&quot;6&quot;,&quot;container-title-short&quot;:&quot;&quot;},&quot;isTemporary&quot;:false},{&quot;id&quot;:&quot;2d171515-5c72-31fa-8a37-f351f235f9f0&quot;,&quot;itemData&quot;:{&quot;type&quot;:&quot;article-journal&quot;,&quot;id&quot;:&quot;2d171515-5c72-31fa-8a37-f351f235f9f0&quot;,&quot;title&quot;:&quot;Design of an electric vehicle fast-charging station with integration of renewable energy and storage systems&quot;,&quot;author&quot;:[{&quot;family&quot;:&quot;Domínguez-Navarro&quot;,&quot;given&quot;:&quot;J A&quot;,&quot;parse-names&quot;:false,&quot;dropping-particle&quot;:&quot;&quot;,&quot;non-dropping-particle&quot;:&quot;&quot;},{&quot;family&quot;:&quot;Dufo-López&quot;,&quot;given&quot;:&quot;R&quot;,&quot;parse-names&quot;:false,&quot;dropping-particle&quot;:&quot;&quot;,&quot;non-dropping-particle&quot;:&quot;&quot;},{&quot;family&quot;:&quot;Yusta-Loyo&quot;,&quot;given&quot;:&quot;J M&quot;,&quot;parse-names&quot;:false,&quot;dropping-particle&quot;:&quot;&quot;,&quot;non-dropping-particle&quot;:&quot;&quot;},{&quot;family&quot;:&quot;Artal-Sevil&quot;,&quot;given&quot;:&quot;J S&quot;,&quot;parse-names&quot;:false,&quot;dropping-particle&quot;:&quot;&quot;,&quot;non-dropping-particle&quot;:&quot;&quot;},{&quot;family&quot;:&quot;Bernal-Agustín&quot;,&quot;given&quot;:&quot;J L&quot;,&quot;parse-names&quot;:false,&quot;dropping-particle&quot;:&quot;&quot;,&quot;non-dropping-particle&quot;:&quot;&quot;}],&quot;container-title&quot;:&quot;International Journal of Electrical Power &amp; Energy Systems&quot;,&quot;DOI&quot;:&quot;https://doi.org/10.1016/j.ijepes.2018.08.001&quot;,&quot;ISSN&quot;:&quot;0142-0615&quot;,&quot;URL&quot;:&quot;https://www.sciencedirect.com/science/article/pii/S0142061518308019&quot;,&quot;issued&quot;:{&quot;date-parts&quot;:[[2019]]},&quot;page&quot;:&quot;46-58&quot;,&quot;abstract&quot;:&quot;The development of electric vehicles (EVs) depends on several factors: the EV’s acquisition price, autonomy, the charging process and the charging infrastructure. This paper is focused on the last factor: the design of an EV fast-charging station. In order to improve the profitability of the fast-charging stations and to decrease the high energy demanded from the grid, the station includes renewable generation (wind and photovoltaic) and a storage system. Unlike other papers, this one uses a detailed model of the charging process that considers the arrival time and state of charge of electric vehicles. First, the Monte Carlo method is used to model the EV demand and the renewable generation. Later, a genetic algorithm (GA) optimizes the installation and operation of the EV fast-charging station. It finds the optimal solution that maximizes the profit measured by its net present value (NPV). Several cases are studied to analyse the influence of renewable energies and storage systems. The obtained results show that a mix of renewable energies and storage systems attains the best cost efficient solution.&quot;,&quot;volume&quot;:&quot;105&quot;,&quot;container-title-short&quot;:&quot;&quot;},&quot;isTemporary&quot;:false}],&quot;citationTag&quot;:&quot;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&quot;},{&quot;citationID&quot;:&quot;MENDELEY_CITATION_617d5ebb-d6b3-4687-85a1-c4fee6dc9cef&quot;,&quot;properties&quot;:{&quot;noteIndex&quot;:0},&quot;isEdited&quot;:false,&quot;manualOverride&quot;:{&quot;isManuallyOverridden&quot;:false,&quot;citeprocText&quot;:&quot;[9], [10]&quot;,&quot;manualOverrideText&quot;:&quot;&quot;},&quot;citationItems&quot;:[{&quot;id&quot;:&quot;27dac311-b1d1-3f22-a4c3-4bc01e08bdcf&quot;,&quot;itemData&quot;:{&quot;type&quot;:&quot;article-journal&quot;,&quot;id&quot;:&quot;27dac311-b1d1-3f22-a4c3-4bc01e08bdcf&quot;,&quot;title&quot;:&quot;An Exploration of New Energy Storage System: High Energy Density, High Safety, and Fast Charging Lithium Ion Battery&quot;,&quot;author&quot;:[{&quot;family&quot;:&quot;Wu&quot;,&quot;given&quot;:&quot;Yingqiang&quot;,&quot;parse-names&quot;:false,&quot;dropping-particle&quot;:&quot;&quot;,&quot;non-dropping-particle&quot;:&quot;&quot;},{&quot;family&quot;:&quot;Wang&quot;,&quot;given&quot;:&quot;Wenxi&quot;,&quot;parse-names&quot;:false,&quot;dropping-particle&quot;:&quot;&quot;,&quot;non-dropping-particle&quot;:&quot;&quot;},{&quot;family&quot;:&quot;Ming&quot;,&quot;given&quot;:&quot;Jun&quot;,&quot;parse-names&quot;:false,&quot;dropping-particle&quot;:&quot;&quot;,&quot;non-dropping-particle&quot;:&quot;&quot;},{&quot;family&quot;:&quot;Li&quot;,&quot;given&quot;:&quot;Mengliu&quot;,&quot;parse-names&quot;:false,&quot;dropping-particle&quot;:&quot;&quot;,&quot;non-dropping-particle&quot;:&quot;&quot;},{&quot;family&quot;:&quot;Xie&quot;,&quot;given&quot;:&quot;Leqiong&quot;,&quot;parse-names&quot;:false,&quot;dropping-particle&quot;:&quot;&quot;,&quot;non-dropping-particle&quot;:&quot;&quot;},{&quot;family&quot;:&quot;He&quot;,&quot;given&quot;:&quot;Xiangming&quot;,&quot;parse-names&quot;:false,&quot;dropping-particle&quot;:&quot;&quot;,&quot;non-dropping-particle&quot;:&quot;&quot;},{&quot;family&quot;:&quot;Wang&quot;,&quot;given&quot;:&quot;Jing&quot;,&quot;parse-names&quot;:false,&quot;dropping-particle&quot;:&quot;&quot;,&quot;non-dropping-particle&quot;:&quot;&quot;},{&quot;family&quot;:&quot;Liang&quot;,&quot;given&quot;:&quot;Shuquan&quot;,&quot;parse-names&quot;:false,&quot;dropping-particle&quot;:&quot;&quot;,&quot;non-dropping-particle&quot;:&quot;&quot;},{&quot;family&quot;:&quot;Wu&quot;,&quot;given&quot;:&quot;Yuping&quot;,&quot;parse-names&quot;:false,&quot;dropping-particle&quot;:&quot;&quot;,&quot;non-dropping-particle&quot;:&quot;&quot;}],&quot;container-title&quot;:&quot;Advanced Functional Materials&quot;,&quot;container-title-short&quot;:&quot;Adv Funct Mater&quot;,&quot;DOI&quot;:&quot;https://doi.org/10.1002/adfm.201805978&quot;,&quot;ISSN&quot;:&quot;1616-301X&quot;,&quot;URL&quot;:&quot;https://doi.org/10.1002/adfm.201805978&quot;,&quot;issued&quot;:{&quot;date-parts&quot;:[[2019,1,1]]},&quot;page&quot;:&quot;1805978&quot;,&quot;abstract&quot;:&quot;Abstract Rechargeable lithium ion battery (LIB) has dominated the energy market from portable electronics to electric vehicles, but the fast-charging remains challenging. The safety concerns of lithium deposition on graphite anode or the decreased energy density using Li4Ti5O12 (LTO) anode are incapable to satisfy applications. Herein, the sulfurized polyacrylonitrile (SPAN) is explored for the first time as a high capacity and safer anode in LIBs, in which the high voltage cathode of LiNi1/3Co1/3Mn1/3O2 (NCM-H) is further introduced to configure a new SPAN|NCM-H battery with great fast-charging features. The LIB demonstrates a good stability with a high capacity retention of 89.7% after 100 cycles at a high voltage of 3.5 V (i.e., 4.6 V vs Li+/Li). Particularly, the excellent rate capability is confirmed and 78.7% of initial capacity can still be delivered at 4.0C. In addition, 97.6% of the battery capacity can be charged within 2.0C, which is much higher than 80% in current fast-charging application standards. The feature of lithiation potential (&gt;1.0 V vs Li+/Li) of SPAN avoids the lithium deposition and improves the safety, while the high capacity over 640 mAh g?1 promises 43.5% higher energy density than that of LTO-based battery, enabling its great competitiveness to conventional LIBs.&quot;,&quot;publisher&quot;:&quot;John Wiley &amp; Sons, Ltd&quot;,&quot;issue&quot;:&quot;1&quot;,&quot;volume&quot;:&quot;29&quot;},&quot;isTemporary&quot;:false},{&quot;id&quot;:&quot;3af26936-4e75-3315-9a19-217252451d9a&quot;,&quot;itemData&quot;:{&quot;type&quot;:&quot;article-journal&quot;,&quot;id&quot;:&quot;3af26936-4e75-3315-9a19-217252451d9a&quot;,&quot;title&quot;:&quot;An experimental and numerical study on the effect of inclination angle of phase change materials thermal energy storage system&quot;,&quot;author&quot;:[{&quot;family&quot;:&quot;Siyabi&quot;,&quot;given&quot;:&quot;Idris&quot;,&quot;parse-names&quot;:false,&quot;dropping-particle&quot;:&quot;&quot;,&quot;non-dropping-particle&quot;:&quot;Al&quot;},{&quot;family&quot;:&quot;Khanna&quot;,&quot;given&quot;:&quot;Sourav&quot;,&quot;parse-names&quot;:false,&quot;dropping-particle&quot;:&quot;&quot;,&quot;non-dropping-particle&quot;:&quot;&quot;},{&quot;family&quot;:&quot;Mallick&quot;,&quot;given&quot;:&quot;Tapas&quot;,&quot;parse-names&quot;:false,&quot;dropping-particle&quot;:&quot;&quot;,&quot;non-dropping-particle&quot;:&quot;&quot;},{&quot;family&quot;:&quot;Sundaram&quot;,&quot;given&quot;:&quot;Senthilarasu&quot;,&quot;parse-names&quot;:false,&quot;dropping-particle&quot;:&quot;&quot;,&quot;non-dropping-particle&quot;:&quot;&quot;}],&quot;container-title&quot;:&quot;Journal of Energy Storage&quot;,&quot;container-title-short&quot;:&quot;J Energy Storage&quot;,&quot;DOI&quot;:&quot;https://doi.org/10.1016/j.est.2019.03.010&quot;,&quot;ISSN&quot;:&quot;2352-152X&quot;,&quot;URL&quot;:&quot;https://www.sciencedirect.com/science/article/pii/S2352152X18305723&quot;,&quot;issued&quot;:{&quot;date-parts&quot;:[[2019]]},&quot;page&quot;:&quot;57-68&quot;,&quot;abstract&quot;:&quot;The main purpose of the present study is to investigate the melting characteristics of a PCM cylindrical thermal storage system using experimental and numerical approaches. Three inclination positions are considered from vertical to horizontal. Paraffin wax has been used as the phase change material with a melting temperature ranged between 35 and 37 ºC. The melting behaviour of the PCM inside the storage is characterised using different parameters of temperature distribution, imaging of PCM melting profiles, rate of stored heat, and liquid PCM flow within the storage. The results show that the PCM storage inclination angle has a significant effect on the PCM temperature distribution, PCM melting time and profile. It is noted that PCM in the storage in the 45° inclination angle from the horizontal location has the fastest melting rate is the fastest in melting compared to the 0° and 90° inclination angles. The simulation models enable understanding the internal flow of liquid PCM where it has been found that the direction of buoyant force resulting from the melted liquid PCM has a major role in both melting rate and melting direction within the PCM storage. In addition, it has been observed that the charging rate has no effect on the PCM melting profile.&quot;,&quot;volume&quot;:&quot;23&quot;},&quot;isTemporary&quot;:false}],&quot;citationTag&quot;:&quot;MENDELEY_CITATION_v3_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&quot;},{&quot;citationID&quot;:&quot;MENDELEY_CITATION_a7178451-0dd0-449a-934a-2ffbfeeaffd7&quot;,&quot;properties&quot;:{&quot;noteIndex&quot;:0},&quot;isEdited&quot;:false,&quot;manualOverride&quot;:{&quot;isManuallyOverridden&quot;:false,&quot;citeprocText&quot;:&quot;[11]&quot;,&quot;manualOverrideText&quot;:&quot;&quot;},&quot;citationItems&quot;:[{&quot;id&quot;:&quot;f2f9b82b-c32c-31b8-b0ce-42421b123bcb&quot;,&quot;itemData&quot;:{&quot;type&quot;:&quot;article-journal&quot;,&quot;id&quot;:&quot;f2f9b82b-c32c-31b8-b0ce-42421b123bcb&quot;,&quot;title&quot;:&quot;Determining the shortest charging time of batteries using SOC set point at constant current–constant voltage mode&quot;,&quot;author&quot;:[{&quot;family&quot;:&quot;Faanzir&quot;,&quot;given&quot;:&quot;Faanzir&quot;,&quot;parse-names&quot;:false,&quot;dropping-particle&quot;:&quot;&quot;,&quot;non-dropping-particle&quot;:&quot;&quot;},{&quot;family&quot;:&quot;Ashari&quot;,&quot;given&quot;:&quot;Mochamad&quot;,&quot;parse-names&quot;:false,&quot;dropping-particle&quot;:&quot;&quot;,&quot;non-dropping-particle&quot;:&quot;&quot;},{&quot;family&quot;:&quot;Soedibyo&quot;,&quot;given&quot;:&quot;Soedibyo&quot;,&quot;parse-names&quot;:false,&quot;dropping-particle&quot;:&quot;&quot;,&quot;non-dropping-particle&quot;:&quot;&quot;},{&quot;family&quot;:&quot;Umar&quot;,&quot;given&quot;:&quot;Umar&quot;,&quot;parse-names&quot;:false,&quot;dropping-particle&quot;:&quot;&quot;,&quot;non-dropping-particle&quot;:&quot;&quot;}],&quot;container-title&quot;:&quot;Przegląd Elektrotechniczny&quot;,&quot;ISSN&quot;:&quot;0033-2097&quot;,&quot;issued&quot;:{&quot;date-parts&quot;:[[2021]]},&quot;volume&quot;:&quot;97&quot;,&quot;container-title-short&quot;:&quot;&quot;},&quot;isTemporary&quot;:false}],&quot;citationTag&quot;:&quot;MENDELEY_CITATION_v3_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&quot;},{&quot;citationID&quot;:&quot;MENDELEY_CITATION_69f3a0aa-c2f2-49c8-aa5c-30b4e45caf02&quot;,&quot;properties&quot;:{&quot;noteIndex&quot;:0},&quot;isEdited&quot;:false,&quot;manualOverride&quot;:{&quot;isManuallyOverridden&quot;:false,&quot;citeprocText&quot;:&quot;[12], [13]&quot;,&quot;manualOverrideText&quot;:&quot;&quot;},&quot;citationItems&quot;:[{&quot;id&quot;:&quot;0840aa6f-8126-34ea-8305-f125007a77bf&quot;,&quot;itemData&quot;:{&quot;type&quot;:&quot;article-journal&quot;,&quot;id&quot;:&quot;0840aa6f-8126-34ea-8305-f125007a77bf&quot;,&quot;title&quot;:&quot;Opportunities and Challenges of Lithium Ion Batteries in Automotive Applications&quot;,&quot;author&quot;:[{&quot;family&quot;:&quot;Masias&quot;,&quot;given&quot;:&quot;Alvaro&quot;,&quot;parse-names&quot;:false,&quot;dropping-particle&quot;:&quot;&quot;,&quot;non-dropping-particle&quot;:&quot;&quot;},{&quot;family&quot;:&quot;Marcicki&quot;,&quot;given&quot;:&quot;James&quot;,&quot;parse-names&quot;:false,&quot;dropping-particle&quot;:&quot;&quot;,&quot;non-dropping-particle&quot;:&quot;&quot;},{&quot;family&quot;:&quot;Paxton&quot;,&quot;given&quot;:&quot;William A&quot;,&quot;parse-names&quot;:false,&quot;dropping-particle&quot;:&quot;&quot;,&quot;non-dropping-particle&quot;:&quot;&quot;}],&quot;container-title&quot;:&quot;ACS Energy Letters&quot;,&quot;container-title-short&quot;:&quot;ACS Energy Lett&quot;,&quot;DOI&quot;:&quot;10.1021/acsenergylett.0c02584&quot;,&quot;URL&quot;:&quot;https://doi.org/10.1021/acsenergylett.0c02584&quot;,&quot;issued&quot;:{&quot;date-parts&quot;:[[2021,2,12]]},&quot;page&quot;:&quot;621-630&quot;,&quot;publisher&quot;:&quot;American Chemical Society&quot;,&quot;issue&quot;:&quot;2&quot;,&quot;volume&quot;:&quot;6&quot;},&quot;isTemporary&quot;:false},{&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&quot;},{&quot;citationID&quot;:&quot;MENDELEY_CITATION_8d267248-b563-4d98-967d-7b44d35f10d8&quot;,&quot;properties&quot;:{&quot;noteIndex&quot;:0},&quot;isEdited&quot;:false,&quot;manualOverride&quot;:{&quot;isManuallyOverridden&quot;:false,&quot;citeprocText&quot;:&quot;[13]&quot;,&quot;manualOverrideText&quot;:&quot;&quot;},&quot;citationItems&quot;:[{&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&quot;},{&quot;citationID&quot;:&quot;MENDELEY_CITATION_a39a8a1d-cfd5-426c-80d7-f8cb00c37e74&quot;,&quot;properties&quot;:{&quot;noteIndex&quot;:0},&quot;isEdited&quot;:false,&quot;manualOverride&quot;:{&quot;isManuallyOverridden&quot;:false,&quot;citeprocText&quot;:&quot;[14]&quot;,&quot;manualOverrideText&quot;:&quot;&quot;},&quot;citationItems&quot;:[{&quot;id&quot;:&quot;173a4fda-11ad-3cb7-a18a-92afbeb1c535&quot;,&quot;itemData&quot;:{&quot;type&quot;:&quot;article-journal&quot;,&quot;id&quot;:&quot;173a4fda-11ad-3cb7-a18a-92afbeb1c535&quot;,&quot;title&quot;:&quot;A Comprehensive Review of DC Fast-Charging Stations With Energy Storage: Architectures, Power Converters, and Analysis&quot;,&quot;author&quot;:[{&quot;family&quot;:&quot;Rafi&quot;,&quot;given&quot;:&quot;M A H&quot;,&quot;parse-names&quot;:false,&quot;dropping-particle&quot;:&quot;&quot;,&quot;non-dropping-particle&quot;:&quot;&quot;},{&quot;family&quot;:&quot;Bauman&quot;,&quot;given&quot;:&quot;J&quot;,&quot;parse-names&quot;:false,&quot;dropping-particle&quot;:&quot;&quot;,&quot;non-dropping-particle&quot;:&quot;&quot;}],&quot;container-title&quot;:&quot;IEEE Transactions on Transportation Electrification&quot;,&quot;DOI&quot;:&quot;10.1109/TTE.2020.3015743&quot;,&quot;ISSN&quot;:&quot;2332-7782&quot;,&quot;issued&quot;:{&quot;date-parts&quot;:[[2021]]},&quot;page&quot;:&quot;345-368&quot;,&quot;issue&quot;:&quot;2&quot;,&quot;volume&quot;:&quot;7&quot;,&quot;container-title-short&quot;:&quot;&quot;},&quot;isTemporary&quot;:false}],&quot;citationTag&quot;:&quot;MENDELEY_CITATION_v3_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&quot;},{&quot;citationID&quot;:&quot;MENDELEY_CITATION_ccc08ae6-14d8-4664-ba6c-55f79460fd55&quot;,&quot;properties&quot;:{&quot;noteIndex&quot;:0},&quot;isEdited&quot;:false,&quot;manualOverride&quot;:{&quot;isManuallyOverridden&quot;:false,&quot;citeprocText&quot;:&quot;[15]&quot;,&quot;manualOverrideText&quot;:&quot;&quot;},&quot;citationItems&quot;:[{&quot;id&quot;:&quot;d874774a-74cb-32ef-8521-7b7dfe6546bf&quot;,&quot;itemData&quot;:{&quot;type&quot;:&quot;article&quot;,&quot;id&quot;:&quot;d874774a-74cb-32ef-8521-7b7dfe6546bf&quot;,&quot;title&quot;:&quot;Maximum power point tracking techniques for photovoltaic panel: A review and experimental applications&quot;,&quot;author&quot;:[{&quot;family&quot;:&quot;Derbeli&quot;,&quot;given&quot;:&quot;Mohamed&quot;,&quot;parse-names&quot;:false,&quot;dropping-particle&quot;:&quot;&quot;,&quot;non-dropping-particle&quot;:&quot;&quot;},{&quot;family&quot;:&quot;Napole&quot;,&quot;given&quot;:&quot;Cristian&quot;,&quot;parse-names&quot;:false,&quot;dropping-particle&quot;:&quot;&quot;,&quot;non-dropping-particle&quot;:&quot;&quot;},{&quot;family&quot;:&quot;Barambones&quot;,&quot;given&quot;:&quot;Oscar&quot;,&quot;parse-names&quot;:false,&quot;dropping-particle&quot;:&quot;&quot;,&quot;non-dropping-particle&quot;:&quot;&quot;},{&quot;family&quot;:&quot;Sanchez&quot;,&quot;given&quot;:&quot;Jesus&quot;,&quot;parse-names&quot;:false,&quot;dropping-particle&quot;:&quot;&quot;,&quot;non-dropping-particle&quot;:&quot;&quot;},{&quot;family&quot;:&quot;Calvo&quot;,&quot;given&quot;:&quot;Isidro&quot;,&quot;parse-names&quot;:false,&quot;dropping-particle&quot;:&quot;&quot;,&quot;non-dropping-particle&quot;:&quot;&quot;},{&quot;family&quot;:&quot;Fernández-Bustamante&quot;,&quot;given&quot;:&quot;Pablo&quot;,&quot;parse-names&quot;:false,&quot;dropping-particle&quot;:&quot;&quot;,&quot;non-dropping-particle&quot;:&quot;&quot;}],&quot;container-title&quot;:&quot;Energies&quot;,&quot;container-title-short&quot;:&quot;Energies (Basel)&quot;,&quot;DOI&quot;:&quot;10.3390/en14227806&quot;,&quot;ISSN&quot;:&quot;19961073&quot;,&quot;issued&quot;:{&quot;date-parts&quot;:[[2021,11,1]]},&quot;abstract&quot;:&quot;This article contains a review of essential control techniques for maximum power point tracking (MPPT) to be applied in photovoltaic (PV) panel systems. These devices are distinguished by their capability to transform solar energy into electricity without emissions. Nevertheless, the efficiency can be enhanced provided that a suitable MPPT algorithm is well designed to obtain the maximum performance. From the analyzed MPPT algorithms, four different types were chosen for an experimental evaluation over a commercial PV system linked to a boost converter. As the reference that corresponds to the maximum power is depended on the irradiation and temperature, an artificial neural network (ANN) was used as a reference generator where a high accuracy was achieved based on real data. This was used as a tool for the implementation of sliding mode controller (SMC), fuzzy logic controller (FLC) and model predictive control (MPC). The outcomes allowed different conclusions where each controller has different advantages and disadvantages depending on the various factors related to hardware and software.&quot;,&quot;publisher&quot;:&quot;MDPI&quot;,&quot;issue&quot;:&quot;22&quot;,&quot;volume&quot;:&quot;14&quot;},&quot;isTemporary&quot;:false}],&quot;citationTag&quot;:&quot;MENDELEY_CITATION_v3_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&quot;},{&quot;citationID&quot;:&quot;MENDELEY_CITATION_b914ba1a-b948-4de2-9e38-14c5eb02b4dc&quot;,&quot;properties&quot;:{&quot;noteIndex&quot;:0},&quot;isEdited&quot;:false,&quot;manualOverride&quot;:{&quot;isManuallyOverridden&quot;:false,&quot;citeprocText&quot;:&quot;[16]&quot;,&quot;manualOverrideText&quot;:&quot;&quot;},&quot;citationItems&quot;:[{&quot;id&quot;:&quot;0a6d1b64-222d-35d9-970a-4e4936da19ff&quot;,&quot;itemData&quot;:{&quot;type&quot;:&quot;paper-conference&quot;,&quot;id&quot;:&quot;0a6d1b64-222d-35d9-970a-4e4936da19ff&quot;,&quot;title&quot;:&quot;Speed control of three phase induction motor using method hysteresis space vector pulse width modulation&quot;,&quot;author&quot;:[{&quot;family&quot;:&quot;Purnata&quot;,&quot;given&quot;:&quot;H.&quot;,&quot;parse-names&quot;:false,&quot;dropping-particle&quot;:&quot;&quot;,&quot;non-dropping-particle&quot;:&quot;&quot;},{&quot;family&quot;:&quot;Rameli&quot;,&quot;given&quot;:&quot;M.&quot;,&quot;parse-names&quot;:false,&quot;dropping-particle&quot;:&quot;&quot;,&quot;non-dropping-particle&quot;:&quot;&quot;},{&quot;family&quot;:&quot;Effendie Ak&quot;,&quot;given&quot;:&quot;R.&quot;,&quot;parse-names&quot;:false,&quot;dropping-particle&quot;:&quot;&quot;,&quot;non-dropping-particle&quot;:&quot;&quot;}],&quot;container-title&quot;:&quot;2017 International Seminar on Intelligent Technology and Its Application: Strengthening the Link Between University Research and Industry to Support ASEAN Energy Sector, ISITIA 2017 - Proceeding&quot;,&quot;DOI&quot;:&quot;10.1109/ISITIA.2017.8124080&quot;,&quot;ISBN&quot;:&quot;9781538627068&quot;,&quot;issued&quot;:{&quot;date-parts&quot;:[[2017]]},&quot;abstract&quot;:&quot;Induction motor speed control was relatively difficult, because the generated torque and flux are related or not free. In addition to adjusting the speed, it required inverter control. The inverter output was not a pure sinusoidal signal but it is the result of the switching. Therefore, it was necessary to be able to fix the method of switching the inverter output signal that can adjust induction motor speed with load changes. This study applied the indirect method of vector control for setting the speed and incorporates methods of SVPWM (space vector pulse width modulation) with hysteresis then became hysteresis space vector pulse width modulation (HSVPWM) on the inverter. This study also reconstructed current signal. The setting speed three phase induction motor vector control using indirect methods were successfully applied. A change of pace on HSVPWM method successfully achieves the set point of 600 rpm with a rise time of 0.5267 seconds, 0.723 second steady state and has over shoot of 0.8%.&quot;,&quot;volume&quot;:&quot;2017-Janua&quot;,&quot;container-title-short&quot;:&quot;&quot;},&quot;isTemporary&quot;:false}],&quot;citationTag&quot;:&quot;MENDELEY_CITATION_v3_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02F1E298-4913-4241-B0D5-DAAA271A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4995</Words>
  <Characters>28475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asusSBN0CX01Y490460@outlook.com</cp:lastModifiedBy>
  <cp:revision>56</cp:revision>
  <cp:lastPrinted>2021-12-30T17:26:00Z</cp:lastPrinted>
  <dcterms:created xsi:type="dcterms:W3CDTF">2025-08-23T01:25:00Z</dcterms:created>
  <dcterms:modified xsi:type="dcterms:W3CDTF">2025-08-30T01:28:00Z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72d21f08-20ca-302e-9af7-4e91ab79d902</vt:lpwstr>
  </property>
  <property fmtid="{D5CDD505-2E9C-101B-9397-08002B2CF9AE}" pid="24" name="Mendeley Citation Style_1">
    <vt:lpwstr>http://www.zotero.org/styles/apa</vt:lpwstr>
  </property>
</Properties>
</file>